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33E9E" w14:textId="77777777" w:rsidR="00E366A4" w:rsidRPr="00AA783B" w:rsidRDefault="00E366A4" w:rsidP="00E42C8E">
      <w:pPr>
        <w:jc w:val="both"/>
        <w:rPr>
          <w:rFonts w:ascii="Helvetica Light" w:hAnsi="Helvetica Light"/>
          <w:szCs w:val="24"/>
        </w:rPr>
      </w:pPr>
    </w:p>
    <w:p w14:paraId="14F35809" w14:textId="77777777" w:rsidR="00DB3118" w:rsidRPr="00733DA4" w:rsidRDefault="00DB3118" w:rsidP="00E42C8E">
      <w:pPr>
        <w:jc w:val="both"/>
        <w:rPr>
          <w:rFonts w:ascii="Arial Narrow" w:hAnsi="Arial Narrow"/>
          <w:sz w:val="22"/>
          <w:szCs w:val="22"/>
        </w:rPr>
      </w:pPr>
    </w:p>
    <w:p w14:paraId="5F9ADEAE" w14:textId="77777777" w:rsidR="00540D45" w:rsidRPr="00444889" w:rsidRDefault="00540D45" w:rsidP="00E42C8E">
      <w:pPr>
        <w:suppressAutoHyphens w:val="0"/>
        <w:autoSpaceDE w:val="0"/>
        <w:autoSpaceDN w:val="0"/>
        <w:adjustRightInd w:val="0"/>
        <w:spacing w:line="276" w:lineRule="auto"/>
        <w:jc w:val="both"/>
        <w:rPr>
          <w:rFonts w:ascii="Arial Narrow" w:hAnsi="Arial Narrow"/>
          <w:b/>
          <w:bCs/>
          <w:szCs w:val="24"/>
        </w:rPr>
      </w:pPr>
    </w:p>
    <w:p w14:paraId="5A1A8982" w14:textId="722C5C6D" w:rsidR="007D7CAA" w:rsidRPr="00444889" w:rsidRDefault="007D7CAA" w:rsidP="00E42C8E">
      <w:pPr>
        <w:jc w:val="both"/>
        <w:rPr>
          <w:rFonts w:ascii="Verdana" w:hAnsi="Verdana"/>
          <w:b/>
          <w:bCs/>
          <w:color w:val="32B1A5"/>
          <w:sz w:val="22"/>
          <w:szCs w:val="22"/>
        </w:rPr>
      </w:pPr>
      <w:r w:rsidRPr="00444889">
        <w:rPr>
          <w:rFonts w:ascii="Verdana" w:hAnsi="Verdana"/>
          <w:b/>
          <w:bCs/>
          <w:color w:val="32B1A5"/>
          <w:sz w:val="22"/>
          <w:szCs w:val="22"/>
        </w:rPr>
        <w:t>REMISIÓN DE INSUMOS PARA DAR RESPUESTA A SOLICITUD</w:t>
      </w:r>
      <w:r w:rsidR="007E70FE" w:rsidRPr="00444889">
        <w:rPr>
          <w:rFonts w:ascii="Verdana" w:hAnsi="Verdana"/>
          <w:b/>
          <w:bCs/>
          <w:color w:val="32B1A5"/>
          <w:sz w:val="22"/>
          <w:szCs w:val="22"/>
        </w:rPr>
        <w:t xml:space="preserve"> DE COMISIÓN DE LA VERAD</w:t>
      </w:r>
      <w:r w:rsidR="00481659">
        <w:rPr>
          <w:rFonts w:ascii="Verdana" w:hAnsi="Verdana"/>
          <w:b/>
          <w:bCs/>
          <w:color w:val="32B1A5"/>
          <w:sz w:val="22"/>
          <w:szCs w:val="22"/>
        </w:rPr>
        <w:t xml:space="preserve"> 2026</w:t>
      </w:r>
    </w:p>
    <w:p w14:paraId="4EF0F526" w14:textId="77777777" w:rsidR="007D7CAA" w:rsidRPr="00444889" w:rsidRDefault="007D7CAA" w:rsidP="00E42C8E">
      <w:pPr>
        <w:jc w:val="both"/>
        <w:rPr>
          <w:rFonts w:ascii="Verdana" w:hAnsi="Verdana"/>
          <w:b/>
          <w:bCs/>
          <w:color w:val="32B4A8"/>
          <w:sz w:val="22"/>
          <w:szCs w:val="22"/>
        </w:rPr>
      </w:pPr>
    </w:p>
    <w:p w14:paraId="44A7533A" w14:textId="77777777" w:rsidR="00AA2948" w:rsidRPr="00444889" w:rsidRDefault="00AA2948" w:rsidP="00E42C8E">
      <w:pPr>
        <w:spacing w:line="276" w:lineRule="auto"/>
        <w:jc w:val="both"/>
        <w:rPr>
          <w:rFonts w:ascii="Verdana" w:hAnsi="Verdana"/>
          <w:sz w:val="22"/>
          <w:szCs w:val="22"/>
        </w:rPr>
      </w:pPr>
    </w:p>
    <w:p w14:paraId="5B3C95DD" w14:textId="45C9E788" w:rsidR="008A272B" w:rsidRPr="004F2084" w:rsidRDefault="00540D45" w:rsidP="00E42C8E">
      <w:pPr>
        <w:jc w:val="both"/>
        <w:rPr>
          <w:rFonts w:ascii="Verdana" w:hAnsi="Verdana"/>
          <w:sz w:val="22"/>
          <w:szCs w:val="22"/>
          <w:u w:val="single"/>
        </w:rPr>
      </w:pPr>
      <w:r w:rsidRPr="004F2084">
        <w:rPr>
          <w:rFonts w:ascii="Verdana" w:hAnsi="Verdana"/>
          <w:sz w:val="22"/>
          <w:szCs w:val="22"/>
          <w:u w:val="single"/>
        </w:rPr>
        <w:t xml:space="preserve">Aportes </w:t>
      </w:r>
      <w:r w:rsidR="00E473E7" w:rsidRPr="004F2084">
        <w:rPr>
          <w:rFonts w:ascii="Verdana" w:hAnsi="Verdana"/>
          <w:sz w:val="22"/>
          <w:szCs w:val="22"/>
          <w:u w:val="single"/>
        </w:rPr>
        <w:t>P</w:t>
      </w:r>
      <w:r w:rsidRPr="004F2084">
        <w:rPr>
          <w:rFonts w:ascii="Verdana" w:hAnsi="Verdana"/>
          <w:sz w:val="22"/>
          <w:szCs w:val="22"/>
          <w:u w:val="single"/>
        </w:rPr>
        <w:t xml:space="preserve">regunta </w:t>
      </w:r>
      <w:r w:rsidR="00E473E7" w:rsidRPr="004F2084">
        <w:rPr>
          <w:rFonts w:ascii="Verdana" w:hAnsi="Verdana"/>
          <w:sz w:val="22"/>
          <w:szCs w:val="22"/>
          <w:u w:val="single"/>
        </w:rPr>
        <w:t>N</w:t>
      </w:r>
      <w:r w:rsidRPr="004F2084">
        <w:rPr>
          <w:rFonts w:ascii="Verdana" w:hAnsi="Verdana"/>
          <w:sz w:val="22"/>
          <w:szCs w:val="22"/>
          <w:u w:val="single"/>
        </w:rPr>
        <w:t>úmero</w:t>
      </w:r>
      <w:r w:rsidR="00E473E7" w:rsidRPr="004F2084">
        <w:rPr>
          <w:rFonts w:ascii="Verdana" w:hAnsi="Verdana"/>
          <w:sz w:val="22"/>
          <w:szCs w:val="22"/>
          <w:u w:val="single"/>
        </w:rPr>
        <w:t xml:space="preserve"> 1</w:t>
      </w:r>
      <w:r w:rsidR="0067152C" w:rsidRPr="004F2084">
        <w:rPr>
          <w:rFonts w:ascii="Verdana" w:hAnsi="Verdana"/>
          <w:sz w:val="22"/>
          <w:szCs w:val="22"/>
          <w:u w:val="single"/>
        </w:rPr>
        <w:t>5</w:t>
      </w:r>
      <w:r w:rsidR="00E473E7" w:rsidRPr="004F2084">
        <w:rPr>
          <w:rFonts w:ascii="Verdana" w:hAnsi="Verdana"/>
          <w:sz w:val="22"/>
          <w:szCs w:val="22"/>
          <w:u w:val="single"/>
        </w:rPr>
        <w:t>:</w:t>
      </w:r>
      <w:r w:rsidRPr="004F2084">
        <w:rPr>
          <w:rFonts w:ascii="Verdana" w:hAnsi="Verdana"/>
          <w:sz w:val="22"/>
          <w:szCs w:val="22"/>
          <w:u w:val="single"/>
        </w:rPr>
        <w:t xml:space="preserve"> </w:t>
      </w:r>
    </w:p>
    <w:p w14:paraId="7AA35FB4" w14:textId="77777777" w:rsidR="000E6E71" w:rsidRPr="004F2084" w:rsidRDefault="000E6E71" w:rsidP="00E42C8E">
      <w:pPr>
        <w:jc w:val="both"/>
        <w:rPr>
          <w:rFonts w:ascii="Verdana" w:hAnsi="Verdana"/>
          <w:color w:val="000000" w:themeColor="text1"/>
          <w:sz w:val="22"/>
          <w:szCs w:val="22"/>
          <w:highlight w:val="yellow"/>
        </w:rPr>
      </w:pPr>
    </w:p>
    <w:p w14:paraId="2E728F39" w14:textId="6D2D8E3D" w:rsidR="00702C05" w:rsidRPr="004F2084" w:rsidRDefault="00344BB3" w:rsidP="00E42C8E">
      <w:pPr>
        <w:jc w:val="both"/>
        <w:rPr>
          <w:rFonts w:ascii="Verdana" w:hAnsi="Verdana"/>
          <w:color w:val="000000" w:themeColor="text1"/>
          <w:sz w:val="22"/>
          <w:szCs w:val="22"/>
          <w:highlight w:val="yellow"/>
        </w:rPr>
      </w:pPr>
      <w:r w:rsidRPr="004F2084">
        <w:rPr>
          <w:rFonts w:ascii="Verdana" w:hAnsi="Verdana"/>
          <w:sz w:val="22"/>
          <w:szCs w:val="22"/>
        </w:rPr>
        <w:t>El Ministerio de Salud y Protección Social implementa en todo el territorio nacional la Estrategia para la Eliminación de la Transmisión Materno Infantil (ETMI-PLUS). Esta iniciativa está dirigida a mujeres en gestación con diagnóstico de VIH, sífilis o hepatitis B, así como a sus hijos e hijas expuestos. La cobertura de todas las prestaciones derivadas de esta estrategia se encuentra plenamente garantizada a través del Plan de Beneficios en Salud (PBS).</w:t>
      </w:r>
    </w:p>
    <w:p w14:paraId="57E60E54" w14:textId="77777777" w:rsidR="00702C05" w:rsidRPr="004F2084" w:rsidRDefault="00702C05" w:rsidP="00E42C8E">
      <w:pPr>
        <w:jc w:val="both"/>
        <w:rPr>
          <w:rFonts w:ascii="Verdana" w:hAnsi="Verdana"/>
          <w:color w:val="000000" w:themeColor="text1"/>
          <w:sz w:val="22"/>
          <w:szCs w:val="22"/>
          <w:highlight w:val="yellow"/>
        </w:rPr>
      </w:pPr>
    </w:p>
    <w:p w14:paraId="204B0A17" w14:textId="2E626F68" w:rsidR="00702C05" w:rsidRDefault="004F2084" w:rsidP="00E42C8E">
      <w:pPr>
        <w:jc w:val="both"/>
        <w:rPr>
          <w:rFonts w:ascii="Verdana" w:hAnsi="Verdana"/>
          <w:color w:val="000000" w:themeColor="text1"/>
          <w:sz w:val="22"/>
          <w:szCs w:val="22"/>
          <w:highlight w:val="yellow"/>
        </w:rPr>
      </w:pPr>
      <w:r w:rsidRPr="004F2084">
        <w:rPr>
          <w:rFonts w:ascii="Verdana" w:hAnsi="Verdana"/>
          <w:sz w:val="22"/>
          <w:szCs w:val="22"/>
        </w:rPr>
        <w:t xml:space="preserve">Bajo este marco, en Colombia se asegura el acceso a la atención para todas las personas con Infecciones de Transmisión Sexual (ITS), incluido el VIH, independientemente de su tipo de aseguramiento. Este compromiso se fundamenta en el reconocimiento de los Derechos Sexuales y </w:t>
      </w:r>
      <w:r w:rsidR="008879F3">
        <w:rPr>
          <w:rFonts w:ascii="Verdana" w:hAnsi="Verdana"/>
          <w:sz w:val="22"/>
          <w:szCs w:val="22"/>
        </w:rPr>
        <w:t xml:space="preserve">Derechos </w:t>
      </w:r>
      <w:r w:rsidRPr="004F2084">
        <w:rPr>
          <w:rFonts w:ascii="Verdana" w:hAnsi="Verdana"/>
          <w:sz w:val="22"/>
          <w:szCs w:val="22"/>
        </w:rPr>
        <w:t>Reproductivos como Derechos Humanos, garantizando servicios libres de discriminación por edad, credo, raza, orientación sexual o identidad de género, y protegiendo a la población frente a cualquier forma de coerción o violencia.</w:t>
      </w:r>
    </w:p>
    <w:p w14:paraId="5D48B412" w14:textId="369AB0CE" w:rsidR="008E3EFF" w:rsidRPr="00D17777" w:rsidRDefault="008E3EFF" w:rsidP="00E42C8E">
      <w:pPr>
        <w:pStyle w:val="NormalWeb"/>
        <w:jc w:val="both"/>
        <w:rPr>
          <w:rFonts w:ascii="Verdana" w:hAnsi="Verdana"/>
          <w:sz w:val="22"/>
          <w:szCs w:val="22"/>
        </w:rPr>
      </w:pPr>
      <w:r w:rsidRPr="00D17777">
        <w:rPr>
          <w:rFonts w:ascii="Verdana" w:hAnsi="Verdana"/>
          <w:sz w:val="22"/>
          <w:szCs w:val="22"/>
        </w:rPr>
        <w:t>Para materializar estos derechos, el Estado</w:t>
      </w:r>
      <w:r w:rsidR="00E42C8E">
        <w:rPr>
          <w:rFonts w:ascii="Verdana" w:hAnsi="Verdana"/>
          <w:sz w:val="22"/>
          <w:szCs w:val="22"/>
        </w:rPr>
        <w:t>,</w:t>
      </w:r>
      <w:r w:rsidR="00D17777" w:rsidRPr="00D17777">
        <w:rPr>
          <w:rFonts w:ascii="Verdana" w:hAnsi="Verdana"/>
          <w:sz w:val="22"/>
          <w:szCs w:val="22"/>
        </w:rPr>
        <w:t xml:space="preserve"> </w:t>
      </w:r>
      <w:r w:rsidRPr="00D17777">
        <w:rPr>
          <w:rFonts w:ascii="Verdana" w:hAnsi="Verdana"/>
          <w:sz w:val="22"/>
          <w:szCs w:val="22"/>
        </w:rPr>
        <w:t>a través del PB</w:t>
      </w:r>
      <w:r w:rsidR="00D17777" w:rsidRPr="00D17777">
        <w:rPr>
          <w:rFonts w:ascii="Verdana" w:hAnsi="Verdana"/>
          <w:sz w:val="22"/>
          <w:szCs w:val="22"/>
        </w:rPr>
        <w:t>S</w:t>
      </w:r>
      <w:r w:rsidR="00E42C8E">
        <w:rPr>
          <w:rFonts w:ascii="Verdana" w:hAnsi="Verdana"/>
          <w:sz w:val="22"/>
          <w:szCs w:val="22"/>
        </w:rPr>
        <w:t>,</w:t>
      </w:r>
      <w:r w:rsidR="00D17777" w:rsidRPr="00D17777">
        <w:rPr>
          <w:rFonts w:ascii="Verdana" w:hAnsi="Verdana"/>
          <w:sz w:val="22"/>
          <w:szCs w:val="22"/>
        </w:rPr>
        <w:t xml:space="preserve"> </w:t>
      </w:r>
      <w:r w:rsidRPr="00D17777">
        <w:rPr>
          <w:rFonts w:ascii="Verdana" w:hAnsi="Verdana"/>
          <w:sz w:val="22"/>
          <w:szCs w:val="22"/>
        </w:rPr>
        <w:t>garantiza la gratuidad en:</w:t>
      </w:r>
      <w:r w:rsidR="00D17777" w:rsidRPr="00D17777">
        <w:rPr>
          <w:rFonts w:ascii="Verdana" w:hAnsi="Verdana"/>
          <w:sz w:val="22"/>
          <w:szCs w:val="22"/>
        </w:rPr>
        <w:t xml:space="preserve"> D</w:t>
      </w:r>
      <w:r w:rsidRPr="00D17777">
        <w:rPr>
          <w:rFonts w:ascii="Verdana" w:hAnsi="Verdana"/>
          <w:sz w:val="22"/>
          <w:szCs w:val="22"/>
        </w:rPr>
        <w:t>ispensación de medicamentos para el tratamiento de ITS</w:t>
      </w:r>
      <w:r w:rsidR="00D17777" w:rsidRPr="00D17777">
        <w:rPr>
          <w:rFonts w:ascii="Verdana" w:hAnsi="Verdana"/>
          <w:sz w:val="22"/>
          <w:szCs w:val="22"/>
        </w:rPr>
        <w:t>, p</w:t>
      </w:r>
      <w:r w:rsidRPr="00D17777">
        <w:rPr>
          <w:rFonts w:ascii="Verdana" w:hAnsi="Verdana"/>
          <w:sz w:val="22"/>
          <w:szCs w:val="22"/>
        </w:rPr>
        <w:t>ruebas de tamizaje y diagnóstico</w:t>
      </w:r>
      <w:r w:rsidR="00D17777" w:rsidRPr="00D17777">
        <w:rPr>
          <w:rFonts w:ascii="Verdana" w:hAnsi="Verdana"/>
          <w:sz w:val="22"/>
          <w:szCs w:val="22"/>
        </w:rPr>
        <w:t xml:space="preserve"> y a</w:t>
      </w:r>
      <w:r w:rsidRPr="00D17777">
        <w:rPr>
          <w:rFonts w:ascii="Verdana" w:hAnsi="Verdana"/>
          <w:sz w:val="22"/>
          <w:szCs w:val="22"/>
        </w:rPr>
        <w:t>tención médica y hospitalaria integral.</w:t>
      </w:r>
      <w:r w:rsidR="00D17777" w:rsidRPr="00D17777">
        <w:rPr>
          <w:rFonts w:ascii="Verdana" w:hAnsi="Verdana"/>
          <w:sz w:val="22"/>
          <w:szCs w:val="22"/>
        </w:rPr>
        <w:t xml:space="preserve"> </w:t>
      </w:r>
      <w:r w:rsidRPr="00D17777">
        <w:rPr>
          <w:rFonts w:ascii="Verdana" w:hAnsi="Verdana"/>
          <w:sz w:val="22"/>
          <w:szCs w:val="22"/>
        </w:rPr>
        <w:t>Est</w:t>
      </w:r>
      <w:r w:rsidR="00D17777" w:rsidRPr="00D17777">
        <w:rPr>
          <w:rFonts w:ascii="Verdana" w:hAnsi="Verdana"/>
          <w:sz w:val="22"/>
          <w:szCs w:val="22"/>
        </w:rPr>
        <w:t xml:space="preserve">a </w:t>
      </w:r>
      <w:r w:rsidRPr="00D17777">
        <w:rPr>
          <w:rFonts w:ascii="Verdana" w:hAnsi="Verdana"/>
          <w:sz w:val="22"/>
          <w:szCs w:val="22"/>
        </w:rPr>
        <w:t>atención abarca desde la prevención y el diagnóstico oportuno hasta el apoyo psicosocial, el manejo de comorbilidades (como tuberculosis o hepatitis) y la rehabilitación, sin distinción de nacionalidad o tipo de afiliación.</w:t>
      </w:r>
    </w:p>
    <w:p w14:paraId="1E361804" w14:textId="77777777" w:rsidR="00D17777" w:rsidRPr="00D17777" w:rsidRDefault="00D17777" w:rsidP="00E42C8E">
      <w:pPr>
        <w:pStyle w:val="NormalWeb"/>
        <w:jc w:val="both"/>
        <w:rPr>
          <w:rFonts w:ascii="Verdana" w:hAnsi="Verdana"/>
          <w:sz w:val="22"/>
          <w:szCs w:val="22"/>
        </w:rPr>
      </w:pPr>
      <w:r w:rsidRPr="00D17777">
        <w:rPr>
          <w:rFonts w:ascii="Verdana" w:hAnsi="Verdana"/>
          <w:sz w:val="22"/>
          <w:szCs w:val="22"/>
        </w:rPr>
        <w:t>Dada la prioridad que este Ministerio otorga a la promoción y tratamiento del VIH y otras ITS, resulta fundamental que la población se encuentre vinculada al Sistema General de Seguridad Social en Salud (SGSSS). La afiliación no solo ofrece protección financiera, sino que asegura un acceso oportuno, continuo y sin barreras a los servicios.</w:t>
      </w:r>
    </w:p>
    <w:p w14:paraId="1C440827" w14:textId="77777777" w:rsidR="00D17777" w:rsidRPr="00D17777" w:rsidRDefault="00D17777" w:rsidP="00E42C8E">
      <w:pPr>
        <w:pStyle w:val="NormalWeb"/>
        <w:jc w:val="both"/>
        <w:rPr>
          <w:rFonts w:ascii="Verdana" w:hAnsi="Verdana"/>
          <w:sz w:val="22"/>
          <w:szCs w:val="22"/>
        </w:rPr>
      </w:pPr>
      <w:r w:rsidRPr="00D17777">
        <w:rPr>
          <w:rFonts w:ascii="Verdana" w:hAnsi="Verdana"/>
          <w:sz w:val="22"/>
          <w:szCs w:val="22"/>
        </w:rPr>
        <w:t>Esta vinculación es especialmente crítica para personas en situación de alta vulnerabilidad, como la población migrante. Debido a sus condiciones socioeconómicas y contextos de exclusión, este grupo requiere una atención prioritaria que contribuya a reducir las inequidades y permita el ejercicio pleno del derecho fundamental a la salud.</w:t>
      </w:r>
    </w:p>
    <w:p w14:paraId="30DB4A3E" w14:textId="2CAE9139" w:rsidR="00D401E3" w:rsidRPr="00D17777" w:rsidRDefault="00D17777" w:rsidP="00E42C8E">
      <w:pPr>
        <w:ind w:right="47"/>
        <w:jc w:val="both"/>
        <w:rPr>
          <w:rFonts w:ascii="Verdana" w:hAnsi="Verdana" w:cs="TimesNewRomanPSMT"/>
          <w:sz w:val="22"/>
          <w:szCs w:val="22"/>
        </w:rPr>
      </w:pPr>
      <w:r w:rsidRPr="00D17777">
        <w:rPr>
          <w:rFonts w:ascii="Verdana" w:hAnsi="Verdana"/>
          <w:sz w:val="22"/>
          <w:szCs w:val="22"/>
        </w:rPr>
        <w:lastRenderedPageBreak/>
        <w:t xml:space="preserve">Finalmente, para el periodo </w:t>
      </w:r>
      <w:r w:rsidRPr="00D17777">
        <w:rPr>
          <w:rFonts w:ascii="Verdana" w:hAnsi="Verdana"/>
          <w:b/>
          <w:bCs/>
          <w:sz w:val="22"/>
          <w:szCs w:val="22"/>
        </w:rPr>
        <w:t>2024-2026</w:t>
      </w:r>
      <w:r w:rsidRPr="00D17777">
        <w:rPr>
          <w:rFonts w:ascii="Verdana" w:hAnsi="Verdana"/>
          <w:sz w:val="22"/>
          <w:szCs w:val="22"/>
        </w:rPr>
        <w:t xml:space="preserve">, el Ministerio de Salud y Protección Social ha emitido normativas orientadas a fortalecer la estandarización de protocolos y el accionar institucional frente a la atención integral de las ITS y el VIH en el país, entre las cuales tenemos: </w:t>
      </w:r>
    </w:p>
    <w:p w14:paraId="2F9E19E1" w14:textId="77777777" w:rsidR="00D401E3" w:rsidRPr="00D17777" w:rsidRDefault="00D401E3" w:rsidP="00E42C8E">
      <w:pPr>
        <w:jc w:val="both"/>
        <w:rPr>
          <w:rFonts w:ascii="Arial Narrow" w:hAnsi="Arial Narrow"/>
          <w:sz w:val="22"/>
          <w:szCs w:val="22"/>
        </w:rPr>
      </w:pPr>
    </w:p>
    <w:p w14:paraId="22B240E9" w14:textId="0B4B09B0" w:rsidR="00D401E3" w:rsidRPr="00D17777" w:rsidRDefault="00D401E3" w:rsidP="00E42C8E">
      <w:pPr>
        <w:pStyle w:val="Prrafodelista"/>
        <w:numPr>
          <w:ilvl w:val="0"/>
          <w:numId w:val="38"/>
        </w:numPr>
        <w:jc w:val="both"/>
        <w:rPr>
          <w:rFonts w:ascii="Verdana" w:hAnsi="Verdana"/>
          <w:color w:val="000000" w:themeColor="text1"/>
          <w:sz w:val="22"/>
          <w:szCs w:val="22"/>
        </w:rPr>
      </w:pPr>
      <w:r w:rsidRPr="00D17777">
        <w:rPr>
          <w:rStyle w:val="Fuerte"/>
          <w:rFonts w:ascii="Verdana" w:hAnsi="Verdana" w:cs="Open Sans"/>
          <w:b w:val="0"/>
          <w:bCs w:val="0"/>
          <w:color w:val="000000" w:themeColor="text1"/>
          <w:sz w:val="22"/>
          <w:szCs w:val="22"/>
          <w:shd w:val="clear" w:color="auto" w:fill="FFFFFF"/>
        </w:rPr>
        <w:t>Ley 2566 de 2026: Por medio del cual se establecen las principales líneas de gestión para el abordaje intersectorial de las Infecciones de Transmisión Sexual (ITS), el VIH/Sida, la Coinfección TB/VIH y las Hepatitis B y C en el territorio nacional y se dictan otras disposiciones.</w:t>
      </w:r>
    </w:p>
    <w:p w14:paraId="284A6BCB" w14:textId="77777777" w:rsidR="00D401E3" w:rsidRPr="00D17777" w:rsidRDefault="00D401E3" w:rsidP="00E42C8E">
      <w:pPr>
        <w:jc w:val="both"/>
        <w:rPr>
          <w:rFonts w:ascii="Verdana" w:hAnsi="Verdana"/>
          <w:sz w:val="22"/>
          <w:szCs w:val="22"/>
        </w:rPr>
      </w:pPr>
    </w:p>
    <w:p w14:paraId="49BDD742" w14:textId="39AB2E9C" w:rsidR="00D401E3" w:rsidRPr="00D17777" w:rsidRDefault="00F660AC" w:rsidP="00E42C8E">
      <w:pPr>
        <w:pStyle w:val="Prrafodelista"/>
        <w:numPr>
          <w:ilvl w:val="0"/>
          <w:numId w:val="40"/>
        </w:numPr>
        <w:suppressAutoHyphens w:val="0"/>
        <w:autoSpaceDE w:val="0"/>
        <w:autoSpaceDN w:val="0"/>
        <w:adjustRightInd w:val="0"/>
        <w:jc w:val="both"/>
        <w:rPr>
          <w:rFonts w:ascii="Verdana" w:hAnsi="Verdana" w:cs="Arial"/>
          <w:sz w:val="22"/>
          <w:szCs w:val="22"/>
          <w:lang w:eastAsia="en-US"/>
        </w:rPr>
      </w:pPr>
      <w:r w:rsidRPr="00D17777">
        <w:rPr>
          <w:rFonts w:ascii="Verdana" w:hAnsi="Verdana"/>
          <w:sz w:val="22"/>
          <w:szCs w:val="22"/>
        </w:rPr>
        <w:t>Resolución 0119 de 2026</w:t>
      </w:r>
      <w:r w:rsidR="007003B3" w:rsidRPr="00D17777">
        <w:rPr>
          <w:rFonts w:ascii="Verdana" w:hAnsi="Verdana"/>
          <w:sz w:val="22"/>
          <w:szCs w:val="22"/>
        </w:rPr>
        <w:t>:</w:t>
      </w:r>
      <w:r w:rsidR="00D330A7" w:rsidRPr="00D17777">
        <w:rPr>
          <w:rFonts w:ascii="Verdana" w:hAnsi="Verdana" w:cs="Arial"/>
          <w:sz w:val="22"/>
          <w:szCs w:val="22"/>
          <w:lang w:eastAsia="en-US"/>
        </w:rPr>
        <w:t xml:space="preserve"> Por la cual se adopta el Plan Nacional de Eliminación y Sostenimiento de la Eliminación de Enfermedades Transmisibles y Condiciones Prioritarias, y se dictan otras disposiciones. Est</w:t>
      </w:r>
      <w:r w:rsidR="00D23F01" w:rsidRPr="00D17777">
        <w:rPr>
          <w:rFonts w:ascii="Verdana" w:hAnsi="Verdana" w:cs="Arial"/>
          <w:sz w:val="22"/>
          <w:szCs w:val="22"/>
          <w:lang w:eastAsia="en-US"/>
        </w:rPr>
        <w:t>a resolución incluye el P</w:t>
      </w:r>
      <w:r w:rsidR="00D330A7" w:rsidRPr="00D17777">
        <w:rPr>
          <w:rFonts w:ascii="Verdana" w:hAnsi="Verdana" w:cs="Arial"/>
          <w:sz w:val="22"/>
          <w:szCs w:val="22"/>
          <w:lang w:eastAsia="en-US"/>
        </w:rPr>
        <w:t xml:space="preserve">lan </w:t>
      </w:r>
      <w:r w:rsidR="00D23F01" w:rsidRPr="00D17777">
        <w:rPr>
          <w:rFonts w:ascii="Verdana" w:hAnsi="Verdana" w:cs="Arial"/>
          <w:sz w:val="22"/>
          <w:szCs w:val="22"/>
          <w:lang w:eastAsia="en-US"/>
        </w:rPr>
        <w:t xml:space="preserve">nacional de eliminación del </w:t>
      </w:r>
      <w:r w:rsidR="00D330A7" w:rsidRPr="00D17777">
        <w:rPr>
          <w:rFonts w:ascii="Verdana" w:hAnsi="Verdana" w:cs="Arial"/>
          <w:sz w:val="22"/>
          <w:szCs w:val="22"/>
          <w:lang w:eastAsia="en-US"/>
        </w:rPr>
        <w:t xml:space="preserve">VIH, </w:t>
      </w:r>
      <w:r w:rsidR="00D23F01" w:rsidRPr="00D17777">
        <w:rPr>
          <w:rFonts w:ascii="Verdana" w:hAnsi="Verdana" w:cs="Arial"/>
          <w:sz w:val="22"/>
          <w:szCs w:val="22"/>
          <w:lang w:eastAsia="en-US"/>
        </w:rPr>
        <w:t>la sífilis la</w:t>
      </w:r>
      <w:r w:rsidR="00D330A7" w:rsidRPr="00D17777">
        <w:rPr>
          <w:rFonts w:ascii="Verdana" w:hAnsi="Verdana" w:cs="Arial"/>
          <w:sz w:val="22"/>
          <w:szCs w:val="22"/>
          <w:lang w:eastAsia="en-US"/>
        </w:rPr>
        <w:t xml:space="preserve"> hepatitis B</w:t>
      </w:r>
      <w:r w:rsidR="00D23F01" w:rsidRPr="00D17777">
        <w:rPr>
          <w:rFonts w:ascii="Verdana" w:hAnsi="Verdana" w:cs="Arial"/>
          <w:sz w:val="22"/>
          <w:szCs w:val="22"/>
          <w:lang w:eastAsia="en-US"/>
        </w:rPr>
        <w:t xml:space="preserve"> y la enfermedad de Chagas por transmisión materno infantil, como problema de salud pública. Colombia 2025 - 2031</w:t>
      </w:r>
    </w:p>
    <w:p w14:paraId="7DF8C7C9" w14:textId="77777777" w:rsidR="00617440" w:rsidRPr="00D17777" w:rsidRDefault="00617440" w:rsidP="00E42C8E">
      <w:pPr>
        <w:jc w:val="both"/>
        <w:rPr>
          <w:rFonts w:ascii="Verdana" w:hAnsi="Verdana"/>
          <w:color w:val="000000" w:themeColor="text1"/>
          <w:sz w:val="22"/>
          <w:szCs w:val="22"/>
        </w:rPr>
      </w:pPr>
    </w:p>
    <w:p w14:paraId="6CFD7A00" w14:textId="2F317D87" w:rsidR="00617440" w:rsidRPr="00D17777" w:rsidRDefault="004C1BBB" w:rsidP="00E42C8E">
      <w:pPr>
        <w:pStyle w:val="Prrafodelista"/>
        <w:numPr>
          <w:ilvl w:val="0"/>
          <w:numId w:val="37"/>
        </w:numPr>
        <w:jc w:val="both"/>
        <w:rPr>
          <w:rStyle w:val="Fuerte"/>
          <w:rFonts w:ascii="Verdana" w:hAnsi="Verdana" w:cs="Open Sans"/>
          <w:b w:val="0"/>
          <w:bCs w:val="0"/>
          <w:color w:val="000000" w:themeColor="text1"/>
          <w:sz w:val="22"/>
          <w:szCs w:val="22"/>
          <w:shd w:val="clear" w:color="auto" w:fill="FFFFFF"/>
        </w:rPr>
      </w:pPr>
      <w:r w:rsidRPr="00D17777">
        <w:rPr>
          <w:rStyle w:val="Fuerte"/>
          <w:rFonts w:ascii="Verdana" w:hAnsi="Verdana" w:cs="Open Sans"/>
          <w:b w:val="0"/>
          <w:bCs w:val="0"/>
          <w:color w:val="000000" w:themeColor="text1"/>
          <w:sz w:val="22"/>
          <w:szCs w:val="22"/>
          <w:shd w:val="clear" w:color="auto" w:fill="FFFFFF"/>
        </w:rPr>
        <w:t>Resolución 2765 de 2025:</w:t>
      </w:r>
      <w:r w:rsidRPr="00D17777">
        <w:rPr>
          <w:rStyle w:val="Fuerte"/>
          <w:rFonts w:ascii="Verdana" w:hAnsi="Verdana" w:cs="Open Sans"/>
          <w:color w:val="948A54" w:themeColor="background2" w:themeShade="80"/>
          <w:sz w:val="22"/>
          <w:szCs w:val="22"/>
          <w:shd w:val="clear" w:color="auto" w:fill="FFFFFF"/>
        </w:rPr>
        <w:t xml:space="preserve"> </w:t>
      </w:r>
      <w:r w:rsidR="00617440" w:rsidRPr="00D17777">
        <w:rPr>
          <w:rStyle w:val="Fuerte"/>
          <w:rFonts w:ascii="Verdana" w:hAnsi="Verdana" w:cs="Open Sans"/>
          <w:b w:val="0"/>
          <w:bCs w:val="0"/>
          <w:color w:val="000000" w:themeColor="text1"/>
          <w:sz w:val="22"/>
          <w:szCs w:val="22"/>
          <w:shd w:val="clear" w:color="auto" w:fill="FFFFFF"/>
        </w:rPr>
        <w:t>La resolución actualiza de manera integral los servicios y tecnologías de salud financiados con recursos de la UPC, los cuales deben ser garantizados por las EPS y entidades adaptadas a sus afiliados bajo los estándares de calidad vigentes. Sus disposiciones son obligatorias para las autoridades de dirección, vigilancia y control del Sistema General de Seguridad Social en Salud, así como para las EPS, entidades adaptadas, prestadores de servicios de salud, la Administradora de los Recursos del Sistema General de Seguridad Social en Salud y demás actores del sistema.</w:t>
      </w:r>
      <w:r w:rsidRPr="00D17777">
        <w:rPr>
          <w:rStyle w:val="Fuerte"/>
          <w:rFonts w:ascii="Verdana" w:hAnsi="Verdana" w:cs="Open Sans"/>
          <w:b w:val="0"/>
          <w:bCs w:val="0"/>
          <w:color w:val="000000" w:themeColor="text1"/>
          <w:sz w:val="22"/>
          <w:szCs w:val="22"/>
          <w:shd w:val="clear" w:color="auto" w:fill="FFFFFF"/>
        </w:rPr>
        <w:t xml:space="preserve"> </w:t>
      </w:r>
      <w:r w:rsidR="00617440" w:rsidRPr="00D17777">
        <w:rPr>
          <w:rStyle w:val="Fuerte"/>
          <w:rFonts w:ascii="Verdana" w:hAnsi="Verdana" w:cs="Open Sans"/>
          <w:b w:val="0"/>
          <w:bCs w:val="0"/>
          <w:color w:val="000000" w:themeColor="text1"/>
          <w:sz w:val="22"/>
          <w:szCs w:val="22"/>
          <w:shd w:val="clear" w:color="auto" w:fill="FFFFFF"/>
        </w:rPr>
        <w:t>Esta norma tiene actualización anual y no es regresiva</w:t>
      </w:r>
      <w:r w:rsidR="00031C34" w:rsidRPr="00D17777">
        <w:rPr>
          <w:rStyle w:val="Fuerte"/>
          <w:rFonts w:ascii="Verdana" w:hAnsi="Verdana" w:cs="Open Sans"/>
          <w:b w:val="0"/>
          <w:bCs w:val="0"/>
          <w:color w:val="000000" w:themeColor="text1"/>
          <w:sz w:val="22"/>
          <w:szCs w:val="22"/>
          <w:shd w:val="clear" w:color="auto" w:fill="FFFFFF"/>
        </w:rPr>
        <w:t>.</w:t>
      </w:r>
    </w:p>
    <w:p w14:paraId="1589FA5A" w14:textId="77777777" w:rsidR="00031C34" w:rsidRPr="00D17777" w:rsidRDefault="00031C34" w:rsidP="00E42C8E">
      <w:pPr>
        <w:pStyle w:val="Prrafodelista"/>
        <w:jc w:val="both"/>
        <w:rPr>
          <w:rStyle w:val="Fuerte"/>
          <w:rFonts w:ascii="Verdana" w:hAnsi="Verdana" w:cs="Open Sans"/>
          <w:b w:val="0"/>
          <w:bCs w:val="0"/>
          <w:color w:val="000000" w:themeColor="text1"/>
          <w:sz w:val="22"/>
          <w:szCs w:val="22"/>
          <w:shd w:val="clear" w:color="auto" w:fill="FFFFFF"/>
        </w:rPr>
      </w:pPr>
    </w:p>
    <w:p w14:paraId="02B8D006" w14:textId="24721704" w:rsidR="00617440" w:rsidRPr="00D17777" w:rsidRDefault="0091671C" w:rsidP="00E42C8E">
      <w:pPr>
        <w:pStyle w:val="Prrafodelista"/>
        <w:numPr>
          <w:ilvl w:val="0"/>
          <w:numId w:val="37"/>
        </w:numPr>
        <w:jc w:val="both"/>
        <w:rPr>
          <w:rStyle w:val="Fuerte"/>
          <w:rFonts w:ascii="Verdana" w:hAnsi="Verdana" w:cs="Open Sans"/>
          <w:b w:val="0"/>
          <w:bCs w:val="0"/>
          <w:color w:val="000000" w:themeColor="text1"/>
          <w:sz w:val="22"/>
          <w:szCs w:val="22"/>
          <w:shd w:val="clear" w:color="auto" w:fill="FFFFFF"/>
        </w:rPr>
      </w:pPr>
      <w:r w:rsidRPr="00D17777">
        <w:rPr>
          <w:rStyle w:val="Fuerte"/>
          <w:rFonts w:ascii="Verdana" w:hAnsi="Verdana" w:cs="Open Sans"/>
          <w:b w:val="0"/>
          <w:bCs w:val="0"/>
          <w:color w:val="000000" w:themeColor="text1"/>
          <w:sz w:val="22"/>
          <w:szCs w:val="22"/>
          <w:shd w:val="clear" w:color="auto" w:fill="FFFFFF"/>
        </w:rPr>
        <w:t>Resolución 2628 de 2025: Por la cual se establecen los requisitos y condiciones para la autorización de funcionamiento y operación de las Organizaciones de Base Comunitaria y su articulación en el Sistema de Salud, a través de acciones que concurran en el cuidado integral de la salud, y se dictan otras disposiciones.</w:t>
      </w:r>
    </w:p>
    <w:p w14:paraId="1A1D15A8" w14:textId="77777777" w:rsidR="00864F30" w:rsidRPr="00D17777" w:rsidRDefault="00864F30" w:rsidP="00E42C8E">
      <w:pPr>
        <w:pStyle w:val="Prrafodelista"/>
        <w:jc w:val="both"/>
        <w:rPr>
          <w:rStyle w:val="Fuerte"/>
          <w:rFonts w:ascii="Verdana" w:hAnsi="Verdana" w:cs="Open Sans"/>
          <w:b w:val="0"/>
          <w:bCs w:val="0"/>
          <w:color w:val="000000" w:themeColor="text1"/>
          <w:sz w:val="22"/>
          <w:szCs w:val="22"/>
          <w:shd w:val="clear" w:color="auto" w:fill="FFFFFF"/>
        </w:rPr>
      </w:pPr>
    </w:p>
    <w:p w14:paraId="49CB1EDB" w14:textId="4F6EC144" w:rsidR="00864F30" w:rsidRPr="00D17777" w:rsidRDefault="00864F30" w:rsidP="00E42C8E">
      <w:pPr>
        <w:pStyle w:val="Prrafodelista"/>
        <w:numPr>
          <w:ilvl w:val="0"/>
          <w:numId w:val="37"/>
        </w:numPr>
        <w:jc w:val="both"/>
        <w:rPr>
          <w:rStyle w:val="Fuerte"/>
          <w:rFonts w:ascii="Verdana" w:hAnsi="Verdana" w:cs="Open Sans"/>
          <w:b w:val="0"/>
          <w:bCs w:val="0"/>
          <w:color w:val="000000" w:themeColor="text1"/>
          <w:sz w:val="22"/>
          <w:szCs w:val="22"/>
          <w:shd w:val="clear" w:color="auto" w:fill="FFFFFF"/>
        </w:rPr>
      </w:pPr>
      <w:r w:rsidRPr="00D17777">
        <w:rPr>
          <w:rStyle w:val="Fuerte"/>
          <w:rFonts w:ascii="Verdana" w:hAnsi="Verdana" w:cs="Open Sans"/>
          <w:b w:val="0"/>
          <w:bCs w:val="0"/>
          <w:color w:val="000000" w:themeColor="text1"/>
          <w:sz w:val="22"/>
          <w:szCs w:val="22"/>
          <w:shd w:val="clear" w:color="auto" w:fill="FFFFFF"/>
        </w:rPr>
        <w:t>Resolución 1597 de 2025: Por la cual se establecen disposiciones para la gestión territorial integral de la salud pública incluida la Gestión en Salud Pública y el Plan de Salud Pública de Intervenciones Colectivas -PIC, en el marco del Plan Decenal de Salud Pública y la estrategia de Atención Primaria en Salud—APS</w:t>
      </w:r>
    </w:p>
    <w:p w14:paraId="0B3AD2A2" w14:textId="77777777" w:rsidR="00F97660" w:rsidRPr="00D17777" w:rsidRDefault="00F97660" w:rsidP="00E42C8E">
      <w:pPr>
        <w:pStyle w:val="Prrafodelista"/>
        <w:jc w:val="both"/>
        <w:rPr>
          <w:rStyle w:val="Fuerte"/>
          <w:rFonts w:ascii="Verdana" w:hAnsi="Verdana" w:cs="Open Sans"/>
          <w:b w:val="0"/>
          <w:bCs w:val="0"/>
          <w:color w:val="000000" w:themeColor="text1"/>
          <w:sz w:val="22"/>
          <w:szCs w:val="22"/>
          <w:shd w:val="clear" w:color="auto" w:fill="FFFFFF"/>
        </w:rPr>
      </w:pPr>
    </w:p>
    <w:p w14:paraId="5D1F3958" w14:textId="1E029708" w:rsidR="00F97660" w:rsidRPr="00D17777" w:rsidRDefault="00F97660" w:rsidP="00E42C8E">
      <w:pPr>
        <w:pStyle w:val="Prrafodelista"/>
        <w:numPr>
          <w:ilvl w:val="0"/>
          <w:numId w:val="37"/>
        </w:numPr>
        <w:jc w:val="both"/>
        <w:rPr>
          <w:rFonts w:ascii="Verdana" w:hAnsi="Verdana" w:cs="Open Sans"/>
          <w:color w:val="000000" w:themeColor="text1"/>
          <w:sz w:val="22"/>
          <w:szCs w:val="22"/>
          <w:shd w:val="clear" w:color="auto" w:fill="FFFFFF"/>
        </w:rPr>
      </w:pPr>
      <w:r w:rsidRPr="00D17777">
        <w:rPr>
          <w:rStyle w:val="Fuerte"/>
          <w:rFonts w:ascii="Verdana" w:hAnsi="Verdana" w:cs="Open Sans"/>
          <w:b w:val="0"/>
          <w:bCs w:val="0"/>
          <w:color w:val="000000" w:themeColor="text1"/>
          <w:sz w:val="22"/>
          <w:szCs w:val="22"/>
          <w:shd w:val="clear" w:color="auto" w:fill="FFFFFF"/>
        </w:rPr>
        <w:t>Resolución 2164 de 2024:</w:t>
      </w:r>
      <w:r w:rsidRPr="00D17777">
        <w:rPr>
          <w:rStyle w:val="Fuerte"/>
          <w:rFonts w:ascii="Verdana" w:hAnsi="Verdana" w:cs="Open Sans"/>
          <w:color w:val="000000" w:themeColor="text1"/>
          <w:sz w:val="22"/>
          <w:szCs w:val="22"/>
          <w:shd w:val="clear" w:color="auto" w:fill="FFFFFF"/>
        </w:rPr>
        <w:t xml:space="preserve"> </w:t>
      </w:r>
      <w:r w:rsidRPr="00D17777">
        <w:rPr>
          <w:rStyle w:val="Fuerte"/>
          <w:rFonts w:ascii="Verdana" w:hAnsi="Verdana" w:cs="Open Sans"/>
          <w:b w:val="0"/>
          <w:bCs w:val="0"/>
          <w:color w:val="000000" w:themeColor="text1"/>
          <w:sz w:val="22"/>
          <w:szCs w:val="22"/>
          <w:shd w:val="clear" w:color="auto" w:fill="FFFFFF"/>
        </w:rPr>
        <w:t>Por la cual se establecen los criterios para la compra centralizada, distribución y suministro de los medicamentos antirretrovirales para VIH y el seguimiento a las poblaciones incluidas en la Resolución 1579 de 2023 y se dictan otras disposiciones</w:t>
      </w:r>
    </w:p>
    <w:p w14:paraId="1E0E8702" w14:textId="77777777" w:rsidR="00306CF7" w:rsidRDefault="00306CF7" w:rsidP="00E42C8E">
      <w:pPr>
        <w:pStyle w:val="Default"/>
        <w:ind w:left="720"/>
        <w:jc w:val="both"/>
        <w:rPr>
          <w:rFonts w:ascii="Verdana" w:hAnsi="Verdana"/>
          <w:sz w:val="22"/>
          <w:szCs w:val="22"/>
          <w:highlight w:val="yellow"/>
        </w:rPr>
      </w:pPr>
    </w:p>
    <w:p w14:paraId="782F6615" w14:textId="715EC95F" w:rsidR="00A355FC" w:rsidRPr="00D17777" w:rsidRDefault="00A355FC" w:rsidP="00E42C8E">
      <w:pPr>
        <w:pStyle w:val="Default"/>
        <w:numPr>
          <w:ilvl w:val="0"/>
          <w:numId w:val="36"/>
        </w:numPr>
        <w:jc w:val="both"/>
        <w:rPr>
          <w:rFonts w:ascii="Verdana" w:hAnsi="Verdana"/>
          <w:sz w:val="22"/>
          <w:szCs w:val="22"/>
        </w:rPr>
      </w:pPr>
      <w:r w:rsidRPr="00D17777">
        <w:rPr>
          <w:rFonts w:ascii="Verdana" w:hAnsi="Verdana"/>
          <w:sz w:val="22"/>
          <w:szCs w:val="22"/>
        </w:rPr>
        <w:lastRenderedPageBreak/>
        <w:t>Circular 006 de 2025</w:t>
      </w:r>
      <w:r w:rsidR="00306CF7" w:rsidRPr="00D17777">
        <w:rPr>
          <w:rFonts w:ascii="Verdana" w:hAnsi="Verdana"/>
          <w:sz w:val="22"/>
          <w:szCs w:val="22"/>
        </w:rPr>
        <w:t xml:space="preserve">: </w:t>
      </w:r>
      <w:r w:rsidRPr="00D17777">
        <w:rPr>
          <w:rFonts w:ascii="Verdana" w:hAnsi="Verdana"/>
          <w:sz w:val="22"/>
          <w:szCs w:val="22"/>
        </w:rPr>
        <w:t>Acceso y monitoreo de antirretrovirales</w:t>
      </w:r>
      <w:r w:rsidR="00306CF7" w:rsidRPr="00D17777">
        <w:rPr>
          <w:rFonts w:ascii="Verdana" w:hAnsi="Verdana"/>
          <w:sz w:val="22"/>
          <w:szCs w:val="22"/>
        </w:rPr>
        <w:t xml:space="preserve">. </w:t>
      </w:r>
      <w:r w:rsidRPr="00D17777">
        <w:rPr>
          <w:rFonts w:ascii="Verdana" w:hAnsi="Verdana"/>
          <w:sz w:val="22"/>
          <w:szCs w:val="22"/>
        </w:rPr>
        <w:t>Esta circular establece lineamientos claros para la prescripción, seguimiento y entrega de medicamentos antirretrovirales a través de la plataforma MIPRES. Las Entidades Promotoras de Salud (EPS) están obligadas a suministrar los tratamientos sin exigir trámites adicionales a los pacientes, promoviendo la entrega inmediata y completa de los mismos.</w:t>
      </w:r>
    </w:p>
    <w:p w14:paraId="74BB9046" w14:textId="77777777" w:rsidR="00306CF7" w:rsidRPr="00D17777" w:rsidRDefault="00306CF7" w:rsidP="00E42C8E">
      <w:pPr>
        <w:pStyle w:val="Prrafodelista"/>
        <w:jc w:val="both"/>
        <w:rPr>
          <w:rFonts w:ascii="Verdana" w:hAnsi="Verdana"/>
          <w:sz w:val="22"/>
          <w:szCs w:val="22"/>
        </w:rPr>
      </w:pPr>
    </w:p>
    <w:p w14:paraId="35B95B01" w14:textId="28FC64A0" w:rsidR="00306CF7" w:rsidRPr="00640674" w:rsidRDefault="00306CF7" w:rsidP="00E42C8E">
      <w:pPr>
        <w:pStyle w:val="Default"/>
        <w:numPr>
          <w:ilvl w:val="0"/>
          <w:numId w:val="36"/>
        </w:numPr>
        <w:jc w:val="both"/>
        <w:rPr>
          <w:rStyle w:val="Fuerte"/>
          <w:rFonts w:ascii="Verdana" w:hAnsi="Verdana"/>
          <w:b w:val="0"/>
          <w:bCs w:val="0"/>
          <w:sz w:val="22"/>
          <w:szCs w:val="22"/>
        </w:rPr>
      </w:pPr>
      <w:r w:rsidRPr="00D17777">
        <w:rPr>
          <w:rStyle w:val="Fuerte"/>
          <w:rFonts w:ascii="Verdana" w:hAnsi="Verdana" w:cs="Open Sans"/>
          <w:b w:val="0"/>
          <w:bCs w:val="0"/>
          <w:color w:val="000000" w:themeColor="text1"/>
          <w:sz w:val="22"/>
          <w:szCs w:val="22"/>
          <w:shd w:val="clear" w:color="auto" w:fill="FFFFFF"/>
        </w:rPr>
        <w:t>Circular 017 de 2025:</w:t>
      </w:r>
      <w:r w:rsidRPr="00D17777">
        <w:rPr>
          <w:rStyle w:val="Fuerte"/>
          <w:rFonts w:ascii="Verdana" w:hAnsi="Verdana" w:cs="Open Sans"/>
          <w:color w:val="000000" w:themeColor="text1"/>
          <w:sz w:val="22"/>
          <w:szCs w:val="22"/>
          <w:shd w:val="clear" w:color="auto" w:fill="FFFFFF"/>
        </w:rPr>
        <w:t xml:space="preserve"> </w:t>
      </w:r>
      <w:r w:rsidRPr="00D17777">
        <w:rPr>
          <w:rStyle w:val="Fuerte"/>
          <w:rFonts w:ascii="Verdana" w:hAnsi="Verdana" w:cs="Open Sans"/>
          <w:b w:val="0"/>
          <w:bCs w:val="0"/>
          <w:color w:val="000000" w:themeColor="text1"/>
          <w:sz w:val="22"/>
          <w:szCs w:val="22"/>
          <w:shd w:val="clear" w:color="auto" w:fill="FFFFFF"/>
        </w:rPr>
        <w:t>Implementación de la ruta operativa para la distribución, suministro y seguimiento del medicamento antirretroviral para VIH Dolutegravir 50 mg, Lamivudina 300 mg y Tenofovir Disoproxil Fumarato 300 mg en tabletas de liberación no modificada (DLT) adquirido en virtud de la compra centralizada, para la población de personas que viven con el virus de inmunodeficiencia humana – VIH establecida en la Resolución 2164 de 2024 (I. Personas que viven con VIH que hacen parte de la población migrante venezolana regular; II. Personas que viven con VIH recién diagnosticadas; III Personas que viven con VIH con falla virológica.</w:t>
      </w:r>
    </w:p>
    <w:p w14:paraId="3D2EB797" w14:textId="77777777" w:rsidR="00640674" w:rsidRDefault="00640674" w:rsidP="00E42C8E">
      <w:pPr>
        <w:pStyle w:val="Prrafodelista"/>
        <w:jc w:val="both"/>
        <w:rPr>
          <w:rStyle w:val="Fuerte"/>
          <w:rFonts w:ascii="Verdana" w:hAnsi="Verdana"/>
          <w:b w:val="0"/>
          <w:bCs w:val="0"/>
          <w:sz w:val="22"/>
          <w:szCs w:val="22"/>
        </w:rPr>
      </w:pPr>
    </w:p>
    <w:p w14:paraId="1E2ED3CF" w14:textId="0CB113A3" w:rsidR="00306CF7" w:rsidRPr="00640674" w:rsidRDefault="00306CF7" w:rsidP="00E42C8E">
      <w:pPr>
        <w:pStyle w:val="Default"/>
        <w:numPr>
          <w:ilvl w:val="0"/>
          <w:numId w:val="36"/>
        </w:numPr>
        <w:jc w:val="both"/>
        <w:rPr>
          <w:rFonts w:ascii="Verdana" w:hAnsi="Verdana"/>
          <w:sz w:val="22"/>
          <w:szCs w:val="22"/>
        </w:rPr>
      </w:pPr>
      <w:r w:rsidRPr="00640674">
        <w:rPr>
          <w:rStyle w:val="Fuerte"/>
          <w:rFonts w:ascii="Verdana" w:hAnsi="Verdana" w:cs="Open Sans"/>
          <w:b w:val="0"/>
          <w:bCs w:val="0"/>
          <w:color w:val="000000" w:themeColor="text1"/>
          <w:sz w:val="22"/>
          <w:szCs w:val="22"/>
          <w:shd w:val="clear" w:color="auto" w:fill="FFFFFF"/>
        </w:rPr>
        <w:t>Circular 005 de 2026: Precisiones acerca de la distribución, suministro, seguimiento y la continuidad del tratamiento con el medicamento antirretroviral para el Virus de Inmunodeficiencia Humana (VIH): dolutegravir + lamivudina + tenofovir disoproxil fumarato, en el marco de la Resolución 2164 de 2024 y la Circular 17 de 2025.</w:t>
      </w:r>
    </w:p>
    <w:p w14:paraId="483324F9" w14:textId="1BFB246C" w:rsidR="00A355FC" w:rsidRPr="000E7C98" w:rsidRDefault="00A355FC" w:rsidP="00E42C8E">
      <w:pPr>
        <w:suppressAutoHyphens w:val="0"/>
        <w:spacing w:after="160" w:line="259" w:lineRule="auto"/>
        <w:ind w:left="720"/>
        <w:jc w:val="both"/>
        <w:rPr>
          <w:rFonts w:ascii="Arial Narrow" w:hAnsi="Arial Narrow"/>
          <w:sz w:val="22"/>
          <w:szCs w:val="22"/>
        </w:rPr>
      </w:pPr>
      <w:r w:rsidRPr="000E7C98">
        <w:rPr>
          <w:rFonts w:ascii="Arial Narrow" w:hAnsi="Arial Narrow"/>
          <w:sz w:val="22"/>
          <w:szCs w:val="22"/>
        </w:rPr>
        <w:t xml:space="preserve"> </w:t>
      </w:r>
    </w:p>
    <w:p w14:paraId="6D1E4FC0" w14:textId="1A496DC5" w:rsidR="00A355FC" w:rsidRPr="00640674" w:rsidRDefault="000D7D71" w:rsidP="00E42C8E">
      <w:pPr>
        <w:jc w:val="both"/>
        <w:rPr>
          <w:rFonts w:ascii="Verdana" w:hAnsi="Verdana"/>
          <w:sz w:val="22"/>
          <w:szCs w:val="22"/>
        </w:rPr>
      </w:pPr>
      <w:r w:rsidRPr="00640674">
        <w:rPr>
          <w:rFonts w:ascii="Verdana" w:hAnsi="Verdana"/>
          <w:sz w:val="22"/>
          <w:szCs w:val="22"/>
        </w:rPr>
        <w:t>Por otra parte en</w:t>
      </w:r>
      <w:r w:rsidR="00A355FC" w:rsidRPr="00640674">
        <w:rPr>
          <w:rFonts w:ascii="Verdana" w:hAnsi="Verdana"/>
          <w:sz w:val="22"/>
          <w:szCs w:val="22"/>
        </w:rPr>
        <w:t xml:space="preserve"> octubre de 2024, se suscribió el acuerdo tripartito entre el Ministerio de Salud y Protección Social, la Organización Panamericana de la Salud/Organización Mundial de la Salud (OPS/OMS) y la Empresa Nacional Promotora del Desarrollo Territorial S.A. (ENTerritorio), como parte de la ejecución de recursos del proyecto </w:t>
      </w:r>
      <w:r w:rsidR="00A355FC" w:rsidRPr="00640674">
        <w:rPr>
          <w:rFonts w:ascii="Verdana" w:hAnsi="Verdana"/>
          <w:i/>
          <w:iCs/>
          <w:sz w:val="22"/>
          <w:szCs w:val="22"/>
        </w:rPr>
        <w:t>Ampliación de la respuesta nacional al VIH con enfoque de vulnerabilidad en Colombia</w:t>
      </w:r>
      <w:r w:rsidR="00A355FC" w:rsidRPr="00640674">
        <w:rPr>
          <w:rFonts w:ascii="Verdana" w:hAnsi="Verdana"/>
          <w:sz w:val="22"/>
          <w:szCs w:val="22"/>
        </w:rPr>
        <w:t xml:space="preserve"> del Fondo Mundial, el cual tiene el objetivo de garantizar el acceso al medicamento DLT (dolutegravir 50 mg + lamivudina 300 mg + tenofovir disoproxil fumarato 300 mg), utilizado como tratamiento de primera opción contra el VIH/Sida. Este convenio tiene como finalidad asegurar la importación, nacionalización y distribución de dicho medicamento dirigido a la población migrante venezolana irregular, priorizando mujeres gestantes y en 15 ciudades clave con alta incidencia del VIH. </w:t>
      </w:r>
    </w:p>
    <w:p w14:paraId="5FEAB358" w14:textId="77777777" w:rsidR="000E7C98" w:rsidRDefault="000E7C98" w:rsidP="00E42C8E">
      <w:pPr>
        <w:jc w:val="both"/>
        <w:rPr>
          <w:rFonts w:ascii="Arial Narrow" w:hAnsi="Arial Narrow"/>
          <w:sz w:val="22"/>
          <w:szCs w:val="22"/>
        </w:rPr>
      </w:pPr>
    </w:p>
    <w:p w14:paraId="11ECBB14" w14:textId="77777777" w:rsidR="00ED46F9" w:rsidRDefault="00ED46F9" w:rsidP="00E42C8E">
      <w:pPr>
        <w:jc w:val="both"/>
        <w:rPr>
          <w:rFonts w:ascii="Arial Narrow" w:hAnsi="Arial Narrow"/>
          <w:sz w:val="22"/>
          <w:szCs w:val="22"/>
        </w:rPr>
      </w:pPr>
    </w:p>
    <w:p w14:paraId="27480BC4" w14:textId="75BA418F" w:rsidR="000E6E71" w:rsidRPr="00972298" w:rsidRDefault="00640674" w:rsidP="00E42C8E">
      <w:pPr>
        <w:jc w:val="both"/>
        <w:rPr>
          <w:rFonts w:ascii="Verdana" w:hAnsi="Verdana"/>
          <w:sz w:val="22"/>
          <w:szCs w:val="22"/>
        </w:rPr>
      </w:pPr>
      <w:r w:rsidRPr="00972298">
        <w:rPr>
          <w:rFonts w:ascii="Verdana" w:hAnsi="Verdana"/>
          <w:sz w:val="22"/>
          <w:szCs w:val="22"/>
        </w:rPr>
        <w:t xml:space="preserve">De igual manera desde </w:t>
      </w:r>
      <w:r w:rsidR="000E6E71" w:rsidRPr="00972298">
        <w:rPr>
          <w:rFonts w:ascii="Verdana" w:hAnsi="Verdana"/>
          <w:sz w:val="22"/>
          <w:szCs w:val="22"/>
        </w:rPr>
        <w:t>este Ministerio, se han emitido documentos técnicos que buscan dar respuesta a</w:t>
      </w:r>
      <w:r w:rsidR="00972298" w:rsidRPr="00972298">
        <w:rPr>
          <w:rFonts w:ascii="Verdana" w:hAnsi="Verdana"/>
          <w:sz w:val="22"/>
          <w:szCs w:val="22"/>
        </w:rPr>
        <w:t xml:space="preserve"> </w:t>
      </w:r>
      <w:r w:rsidR="000E6E71" w:rsidRPr="00972298">
        <w:rPr>
          <w:rFonts w:ascii="Verdana" w:hAnsi="Verdana"/>
          <w:sz w:val="22"/>
          <w:szCs w:val="22"/>
        </w:rPr>
        <w:t>l</w:t>
      </w:r>
      <w:r w:rsidR="00972298" w:rsidRPr="00972298">
        <w:rPr>
          <w:rFonts w:ascii="Verdana" w:hAnsi="Verdana"/>
          <w:sz w:val="22"/>
          <w:szCs w:val="22"/>
        </w:rPr>
        <w:t>as ITS</w:t>
      </w:r>
      <w:r w:rsidR="007C6355">
        <w:rPr>
          <w:rFonts w:ascii="Verdana" w:hAnsi="Verdana"/>
          <w:sz w:val="22"/>
          <w:szCs w:val="22"/>
        </w:rPr>
        <w:t xml:space="preserve">, incluido </w:t>
      </w:r>
      <w:r w:rsidR="00972298" w:rsidRPr="00972298">
        <w:rPr>
          <w:rFonts w:ascii="Verdana" w:hAnsi="Verdana"/>
          <w:sz w:val="22"/>
          <w:szCs w:val="22"/>
        </w:rPr>
        <w:t>el</w:t>
      </w:r>
      <w:r w:rsidR="000E6E71" w:rsidRPr="00972298">
        <w:rPr>
          <w:rFonts w:ascii="Verdana" w:hAnsi="Verdana"/>
          <w:sz w:val="22"/>
          <w:szCs w:val="22"/>
        </w:rPr>
        <w:t xml:space="preserve"> VIH. Estos documentos han sido socializados a todos los integrantes del Sistema General de Seguridad Social en Salud - SGSSS, con el fin de que las intervenciones individuales relacionadas con el tamizaje, el diagnóstico, el tratamiento y la paliación se ajusten a los más altos estándares técnicos y científicos, contribuyendo al ejercicio del derecho fundamental a la salud de las personas que habitan dentro del territorio nacional. Si bien, dichos </w:t>
      </w:r>
      <w:r w:rsidR="000E6E71" w:rsidRPr="00972298">
        <w:rPr>
          <w:rFonts w:ascii="Verdana" w:hAnsi="Verdana"/>
          <w:sz w:val="22"/>
          <w:szCs w:val="22"/>
        </w:rPr>
        <w:lastRenderedPageBreak/>
        <w:t xml:space="preserve">documentos aplican para toda la población, incluidas las personas con orientaciones sexuales e identidades y expresiones de género diversas, al momento de su socialización, y de manera periódica, se brinda orientación técnica a los diferentes actores del SGSSS y entidades territoriales sobre la incorporación de los enfoques diferencial, de género y de población LGBTIQ+ al momento de brindar las atenciones, con el fin de poder atender las particularidades que, en este caso, presentan las personas de estos sectores sociales y así procurar una atención ajustada a sus necesidades.  A continuación, se refieren </w:t>
      </w:r>
      <w:r w:rsidR="00972298" w:rsidRPr="00972298">
        <w:rPr>
          <w:rFonts w:ascii="Verdana" w:hAnsi="Verdana"/>
          <w:sz w:val="22"/>
          <w:szCs w:val="22"/>
        </w:rPr>
        <w:t xml:space="preserve">algunos </w:t>
      </w:r>
      <w:r w:rsidR="000E6E71" w:rsidRPr="00972298">
        <w:rPr>
          <w:rFonts w:ascii="Verdana" w:hAnsi="Verdana"/>
          <w:sz w:val="22"/>
          <w:szCs w:val="22"/>
        </w:rPr>
        <w:t>documentos:</w:t>
      </w:r>
    </w:p>
    <w:p w14:paraId="11F828AF" w14:textId="77777777" w:rsidR="000E6E71" w:rsidRDefault="000E6E71" w:rsidP="00E42C8E">
      <w:pPr>
        <w:shd w:val="clear" w:color="auto" w:fill="FFFFFF"/>
        <w:spacing w:line="276" w:lineRule="auto"/>
        <w:jc w:val="both"/>
        <w:rPr>
          <w:rFonts w:ascii="Arial" w:hAnsi="Arial" w:cs="Arial"/>
          <w:color w:val="212121"/>
          <w:szCs w:val="24"/>
          <w:lang w:eastAsia="es-CO"/>
        </w:rPr>
      </w:pPr>
    </w:p>
    <w:p w14:paraId="783D8A2D" w14:textId="4D200D94" w:rsidR="000E6E71" w:rsidRPr="009A3D0A" w:rsidRDefault="000E6E71" w:rsidP="00E42C8E">
      <w:pPr>
        <w:pStyle w:val="Prrafodelista"/>
        <w:numPr>
          <w:ilvl w:val="0"/>
          <w:numId w:val="43"/>
        </w:numPr>
        <w:suppressAutoHyphens w:val="0"/>
        <w:spacing w:after="160" w:line="259" w:lineRule="auto"/>
        <w:jc w:val="both"/>
        <w:rPr>
          <w:rFonts w:ascii="Verdana" w:hAnsi="Verdana"/>
          <w:sz w:val="22"/>
          <w:szCs w:val="22"/>
        </w:rPr>
      </w:pPr>
      <w:r w:rsidRPr="009A3D0A">
        <w:rPr>
          <w:rFonts w:ascii="Verdana" w:hAnsi="Verdana"/>
          <w:sz w:val="22"/>
          <w:szCs w:val="22"/>
        </w:rPr>
        <w:t>Vía clínica para la prevención, diagnóstico, tratamiento y seguimiento de personas viviendo con VIH. Colombia 2024. Este directriz establece los diferentes algoritmos y puertas de entrada de una persona con diagnóstico de infección por VIH o aquellas que tienen factores de riesgo como relaciones sexuales sin protección, uso de sustancias inyectables, entre otras; de igual manera establece los diferentes esquemas de tratamiento antirretroviral los cuales son suministrados a través del PBS</w:t>
      </w:r>
      <w:r w:rsidR="00972298" w:rsidRPr="009A3D0A">
        <w:rPr>
          <w:rFonts w:ascii="Verdana" w:hAnsi="Verdana"/>
          <w:sz w:val="22"/>
          <w:szCs w:val="22"/>
        </w:rPr>
        <w:t xml:space="preserve"> </w:t>
      </w:r>
      <w:r w:rsidRPr="009A3D0A">
        <w:rPr>
          <w:rFonts w:ascii="Verdana" w:hAnsi="Verdana"/>
          <w:sz w:val="22"/>
          <w:szCs w:val="22"/>
        </w:rPr>
        <w:t xml:space="preserve">o por compra centralizada realizada por el Ministerio de Salud y Protección Social. Cabe resaltar que todas las tecnologías para realizar un diagnóstico de VIH, como el seguimiento y el tratamiento, se encuentran incluidas dentro del PBS. </w:t>
      </w:r>
    </w:p>
    <w:p w14:paraId="6BEAE0EC" w14:textId="77777777" w:rsidR="000E6E71" w:rsidRPr="009A3D0A" w:rsidRDefault="000E6E71" w:rsidP="00E42C8E">
      <w:pPr>
        <w:shd w:val="clear" w:color="auto" w:fill="FFFFFF"/>
        <w:spacing w:line="276" w:lineRule="auto"/>
        <w:jc w:val="both"/>
        <w:rPr>
          <w:rFonts w:ascii="Verdana" w:hAnsi="Verdana" w:cs="Arial"/>
          <w:color w:val="212121"/>
          <w:sz w:val="22"/>
          <w:szCs w:val="22"/>
          <w:lang w:eastAsia="es-CO"/>
        </w:rPr>
      </w:pPr>
    </w:p>
    <w:p w14:paraId="7A301D4E" w14:textId="2C796260" w:rsidR="009A3D0A" w:rsidRDefault="000E6E71" w:rsidP="00E42C8E">
      <w:pPr>
        <w:pStyle w:val="Prrafodelista"/>
        <w:numPr>
          <w:ilvl w:val="0"/>
          <w:numId w:val="42"/>
        </w:numPr>
        <w:suppressAutoHyphens w:val="0"/>
        <w:spacing w:after="160" w:line="259" w:lineRule="auto"/>
        <w:jc w:val="both"/>
        <w:rPr>
          <w:rFonts w:ascii="Verdana" w:hAnsi="Verdana"/>
          <w:sz w:val="22"/>
          <w:szCs w:val="22"/>
        </w:rPr>
      </w:pPr>
      <w:r w:rsidRPr="009A3D0A">
        <w:rPr>
          <w:rFonts w:ascii="Verdana" w:hAnsi="Verdana"/>
          <w:sz w:val="22"/>
          <w:szCs w:val="22"/>
        </w:rPr>
        <w:t>Hoja de Ruta para la Prevención Combinada del VIH/Sida en Colombia 2024-2025</w:t>
      </w:r>
      <w:r w:rsidRPr="009A3D0A">
        <w:rPr>
          <w:rFonts w:ascii="Verdana" w:hAnsi="Verdana"/>
          <w:i/>
          <w:iCs/>
          <w:sz w:val="22"/>
          <w:szCs w:val="22"/>
        </w:rPr>
        <w:t>.</w:t>
      </w:r>
      <w:r w:rsidRPr="00972298">
        <w:rPr>
          <w:rFonts w:ascii="Verdana" w:hAnsi="Verdana"/>
          <w:sz w:val="22"/>
          <w:szCs w:val="22"/>
        </w:rPr>
        <w:t xml:space="preserve"> La Hoja de Ruta busca optimizar los logros que ha obtenido el país en el abordaje de la epidemia del VIH y generar nuevas estrategias que permitan un manejo más efectivo y eficiente, con el objetivo de reducir de manera significativa las nuevas infecciones. La elaboración de este documento estratégico se fundamentó en un análisis del comportamiento nacional de la infección por VIH, que incluyó la evaluación de tendencias epidemiológicas, factores de riesgo y determinantes sociales de la salud. </w:t>
      </w:r>
    </w:p>
    <w:p w14:paraId="6B9EA088" w14:textId="77777777" w:rsidR="009A3D0A" w:rsidRPr="009A3D0A" w:rsidRDefault="009A3D0A" w:rsidP="00E42C8E">
      <w:pPr>
        <w:pStyle w:val="Prrafodelista"/>
        <w:suppressAutoHyphens w:val="0"/>
        <w:spacing w:after="160" w:line="259" w:lineRule="auto"/>
        <w:jc w:val="both"/>
        <w:rPr>
          <w:rFonts w:ascii="Verdana" w:hAnsi="Verdana"/>
          <w:sz w:val="22"/>
          <w:szCs w:val="22"/>
        </w:rPr>
      </w:pPr>
    </w:p>
    <w:p w14:paraId="6A9A061B" w14:textId="77777777" w:rsidR="000E6E71" w:rsidRPr="009A3D0A" w:rsidRDefault="000E6E71" w:rsidP="00E42C8E">
      <w:pPr>
        <w:pStyle w:val="Prrafodelista"/>
        <w:numPr>
          <w:ilvl w:val="0"/>
          <w:numId w:val="42"/>
        </w:numPr>
        <w:suppressAutoHyphens w:val="0"/>
        <w:spacing w:after="160" w:line="259" w:lineRule="auto"/>
        <w:jc w:val="both"/>
        <w:rPr>
          <w:rFonts w:ascii="Verdana" w:hAnsi="Verdana"/>
          <w:sz w:val="22"/>
          <w:szCs w:val="22"/>
        </w:rPr>
      </w:pPr>
      <w:r w:rsidRPr="009A3D0A">
        <w:rPr>
          <w:rFonts w:ascii="Verdana" w:hAnsi="Verdana"/>
          <w:sz w:val="22"/>
          <w:szCs w:val="22"/>
        </w:rPr>
        <w:t>Indicadores epidemiológicos y programáticos para el seguimiento a la respuesta territorial ante las ITS, el VIH, la coinfección TB/VIH y las hepatitis B y C. Monitoreo y evaluación, Colombia 2024</w:t>
      </w:r>
      <w:r w:rsidRPr="009A3D0A">
        <w:rPr>
          <w:rFonts w:ascii="Verdana" w:hAnsi="Verdana"/>
          <w:b/>
          <w:bCs/>
          <w:i/>
          <w:iCs/>
          <w:sz w:val="22"/>
          <w:szCs w:val="22"/>
        </w:rPr>
        <w:t>.</w:t>
      </w:r>
      <w:r w:rsidRPr="009A3D0A">
        <w:rPr>
          <w:rFonts w:ascii="Verdana" w:hAnsi="Verdana"/>
          <w:sz w:val="22"/>
          <w:szCs w:val="22"/>
        </w:rPr>
        <w:t xml:space="preserve"> Este documento presenta una recopilación detallada de indicadores priorizados para el nivel territorial con la intención de orientar a los departamentos, distritos y municipios del país en la gestión de la información y análisis del comportamiento epidemiológico del VIH y otras ITS, de manera periódica. En este documento encontrará: los aspectos metodológicos que describen las principales fuentes de información de VIH y otras ITS en el país, así como las ventajas y desventajas que tienen estas fuentes en el reporte de los datos, la descripción de cada uno de los indicadores recopilados bajo una estructura de fichas técnicas con la justificación, fórmula, </w:t>
      </w:r>
      <w:r w:rsidRPr="009A3D0A">
        <w:rPr>
          <w:rFonts w:ascii="Verdana" w:hAnsi="Verdana"/>
          <w:sz w:val="22"/>
          <w:szCs w:val="22"/>
        </w:rPr>
        <w:lastRenderedPageBreak/>
        <w:t>unidad de medida, fuente, actualización, año inicial de serie histórica, desagregación y comentarios, la información aquí descrita servirá para orientar la consulta y el reporte de información de VIH y otras ITS a nivel territorial y nacional. Del mismo modo, define un número de indicadores mínimos a tener en cuenta en el análisis del comportamiento epidemiológico del VIH y otras ITS.</w:t>
      </w:r>
    </w:p>
    <w:p w14:paraId="1FCDC993" w14:textId="77777777" w:rsidR="009A3D0A" w:rsidRPr="00972298" w:rsidRDefault="009A3D0A" w:rsidP="00E42C8E">
      <w:pPr>
        <w:pStyle w:val="Prrafodelista"/>
        <w:suppressAutoHyphens w:val="0"/>
        <w:spacing w:after="160" w:line="259" w:lineRule="auto"/>
        <w:jc w:val="both"/>
        <w:rPr>
          <w:rFonts w:ascii="Verdana" w:hAnsi="Verdana"/>
          <w:sz w:val="22"/>
          <w:szCs w:val="22"/>
        </w:rPr>
      </w:pPr>
    </w:p>
    <w:p w14:paraId="31E9373D" w14:textId="77777777" w:rsidR="000E6E71" w:rsidRDefault="000E6E71" w:rsidP="00E42C8E">
      <w:pPr>
        <w:pStyle w:val="Prrafodelista"/>
        <w:numPr>
          <w:ilvl w:val="0"/>
          <w:numId w:val="42"/>
        </w:numPr>
        <w:suppressAutoHyphens w:val="0"/>
        <w:spacing w:after="160" w:line="259" w:lineRule="auto"/>
        <w:jc w:val="both"/>
        <w:rPr>
          <w:rFonts w:ascii="Verdana" w:hAnsi="Verdana"/>
          <w:sz w:val="22"/>
          <w:szCs w:val="22"/>
        </w:rPr>
      </w:pPr>
      <w:r w:rsidRPr="009A3D0A">
        <w:rPr>
          <w:rFonts w:ascii="Verdana" w:hAnsi="Verdana"/>
          <w:sz w:val="22"/>
          <w:szCs w:val="22"/>
        </w:rPr>
        <w:t>Plan de Nacional de Respuesta</w:t>
      </w:r>
      <w:r w:rsidRPr="00972298">
        <w:rPr>
          <w:rFonts w:ascii="Verdana" w:hAnsi="Verdana"/>
          <w:sz w:val="22"/>
          <w:szCs w:val="22"/>
        </w:rPr>
        <w:t xml:space="preserve"> ante las ITS el VIH, la coinfección TB - VIH y las hepatitis B y C, Colombia 2022 – 2025.</w:t>
      </w:r>
    </w:p>
    <w:p w14:paraId="7BDB86D9" w14:textId="77777777" w:rsidR="009A3D0A" w:rsidRPr="009A3D0A" w:rsidRDefault="009A3D0A" w:rsidP="00E42C8E">
      <w:pPr>
        <w:pStyle w:val="Prrafodelista"/>
        <w:suppressAutoHyphens w:val="0"/>
        <w:spacing w:after="160" w:line="259" w:lineRule="auto"/>
        <w:jc w:val="both"/>
        <w:rPr>
          <w:rFonts w:ascii="Verdana" w:hAnsi="Verdana"/>
          <w:sz w:val="22"/>
          <w:szCs w:val="22"/>
        </w:rPr>
      </w:pPr>
    </w:p>
    <w:p w14:paraId="2457F801" w14:textId="3DF0FAEC" w:rsidR="00ED46F9" w:rsidRPr="00972298" w:rsidRDefault="000E6E71" w:rsidP="00E42C8E">
      <w:pPr>
        <w:pStyle w:val="Prrafodelista"/>
        <w:numPr>
          <w:ilvl w:val="0"/>
          <w:numId w:val="42"/>
        </w:numPr>
        <w:suppressAutoHyphens w:val="0"/>
        <w:spacing w:after="160" w:line="259" w:lineRule="auto"/>
        <w:jc w:val="both"/>
        <w:rPr>
          <w:rFonts w:ascii="Verdana" w:hAnsi="Verdana"/>
          <w:sz w:val="22"/>
          <w:szCs w:val="22"/>
        </w:rPr>
      </w:pPr>
      <w:r w:rsidRPr="009A3D0A">
        <w:rPr>
          <w:rFonts w:ascii="Verdana" w:hAnsi="Verdana"/>
          <w:sz w:val="22"/>
          <w:szCs w:val="22"/>
        </w:rPr>
        <w:t>ETMI- PLUS. Colombia 2021 – 2030</w:t>
      </w:r>
      <w:r w:rsidRPr="00972298">
        <w:rPr>
          <w:rFonts w:ascii="Verdana" w:hAnsi="Verdana"/>
          <w:b/>
          <w:bCs/>
          <w:sz w:val="22"/>
          <w:szCs w:val="22"/>
        </w:rPr>
        <w:t>.</w:t>
      </w:r>
      <w:r w:rsidRPr="00972298">
        <w:rPr>
          <w:rFonts w:ascii="Verdana" w:hAnsi="Verdana"/>
          <w:sz w:val="22"/>
          <w:szCs w:val="22"/>
        </w:rPr>
        <w:t xml:space="preserve"> Marco para la Eliminación de la Transmisión Materno Infantil del VIH la sífilis, la hepatitis B y la enfermedad de Chagas</w:t>
      </w:r>
    </w:p>
    <w:p w14:paraId="6DF311B3" w14:textId="77777777" w:rsidR="00352932" w:rsidRDefault="00F70160" w:rsidP="00E42C8E">
      <w:pPr>
        <w:pStyle w:val="NormalWeb"/>
        <w:jc w:val="both"/>
        <w:rPr>
          <w:rFonts w:ascii="Verdana" w:hAnsi="Verdana"/>
          <w:sz w:val="22"/>
          <w:szCs w:val="22"/>
        </w:rPr>
      </w:pPr>
      <w:r w:rsidRPr="00F70160">
        <w:rPr>
          <w:rFonts w:ascii="Verdana" w:hAnsi="Verdana"/>
          <w:sz w:val="22"/>
          <w:szCs w:val="22"/>
        </w:rPr>
        <w:t>En conclusión, Colombia muestra un avance sólido y progresivo hacia la eliminación de la transmisión materno infantil (TMI) del VIH en menores de dos años. Esta tendencia se refleja en la reducción del porcentaje de transmisión, que pasó del 2,3% en 2020 al 1,5% en 2023; esto significa que, de 608 niños expuestos en el último año, solo 9 resultaron con diagnóstico positivo. Este logro es el resultado directo de una mejora sustancial en el acceso al tratamiento antirretroviral durante la gestación que alcanzó el 95,0% en 2023 y de una gestión hospitalaria eficiente, donde el 95,9% de las madres recibió profilaxis durante el parto y al 97,1% se le garantizó la inhibición farmacológica de la lactancia.</w:t>
      </w:r>
    </w:p>
    <w:p w14:paraId="6B9DF162" w14:textId="6B7B22CD" w:rsidR="00F57D8C" w:rsidRPr="00F57D8C" w:rsidRDefault="00F57D8C" w:rsidP="00E42C8E">
      <w:pPr>
        <w:pStyle w:val="NormalWeb"/>
        <w:jc w:val="both"/>
        <w:rPr>
          <w:rFonts w:ascii="Verdana" w:hAnsi="Verdana"/>
          <w:sz w:val="22"/>
          <w:szCs w:val="22"/>
        </w:rPr>
      </w:pPr>
      <w:r w:rsidRPr="00F57D8C">
        <w:rPr>
          <w:rFonts w:ascii="Verdana" w:hAnsi="Verdana"/>
          <w:sz w:val="22"/>
          <w:szCs w:val="22"/>
        </w:rPr>
        <w:t>Este fortalecimiento de la atención también se evidencia en el cuidado neonatal. Entre 2020 y 2023, la cobertura de profilaxis antirretroviral para niños expuestos subió al 96,0%, mientras que el suministro de fórmula láctea se mantuvo constante en un 98,0%. Es notable destacar que este logro se ha extendido a la población migrante, donde la tasa de TMI cayó drásticamente del 5,4% al 1,7%, impulsada por un incremento de 13 puntos porcentuales en el acceso a tratamientos durante el embarazo.</w:t>
      </w:r>
    </w:p>
    <w:p w14:paraId="240EC2C7" w14:textId="77777777" w:rsidR="00F57D8C" w:rsidRPr="00F57D8C" w:rsidRDefault="00F57D8C" w:rsidP="00E42C8E">
      <w:pPr>
        <w:pStyle w:val="NormalWeb"/>
        <w:jc w:val="both"/>
        <w:rPr>
          <w:rFonts w:ascii="Verdana" w:hAnsi="Verdana"/>
          <w:sz w:val="22"/>
          <w:szCs w:val="22"/>
        </w:rPr>
      </w:pPr>
      <w:r w:rsidRPr="00F57D8C">
        <w:rPr>
          <w:rFonts w:ascii="Verdana" w:hAnsi="Verdana"/>
          <w:sz w:val="22"/>
          <w:szCs w:val="22"/>
        </w:rPr>
        <w:t>Por otro lado, el país ha fortalecido su capacidad de detección y control de otras infecciones de transmisión sexual. La cobertura de tamizaje para VIH en gestantes alcanzó un máximo histórico del 97,0% en 2024. En cuanto a la sífilis, aunque el tamizaje experimentó un descenso transitorio entre 2020 y 2023, en 2024 se logró una recuperación significativa (88,9%). Este repunte en la atención permitió que el tratamiento para gestantes con sífilis subiera al 90,4%, logrando una reducción en la incidencia de sífilis congénita de 2,9 a 2,5 casos por cada 1.000 nacidos vivos, lo que evitó 585 nuevos casos en el periodo analizado.</w:t>
      </w:r>
    </w:p>
    <w:p w14:paraId="169C1BE5" w14:textId="77777777" w:rsidR="00F70160" w:rsidRPr="00F57D8C" w:rsidRDefault="00F70160" w:rsidP="00E42C8E">
      <w:pPr>
        <w:pStyle w:val="NormalWeb"/>
        <w:jc w:val="both"/>
        <w:rPr>
          <w:rFonts w:ascii="Verdana" w:hAnsi="Verdana"/>
          <w:sz w:val="22"/>
          <w:szCs w:val="22"/>
        </w:rPr>
      </w:pPr>
      <w:r w:rsidRPr="00F57D8C">
        <w:rPr>
          <w:rFonts w:ascii="Verdana" w:hAnsi="Verdana"/>
          <w:sz w:val="22"/>
          <w:szCs w:val="22"/>
        </w:rPr>
        <w:t xml:space="preserve">Finalmente, la respuesta frente a la Hepatitis B (HB) muestra la trayectoria más ascendente en términos de diagnóstico, logrando que el tamizaje pasara del 69,3% en 2020 a un histórico 88,6% en 2024. En conjunto, estas cifras ratifican el compromiso de Colombia con una salud pública equitativa y eficiente, consolidando una ruta de </w:t>
      </w:r>
      <w:r w:rsidRPr="00F57D8C">
        <w:rPr>
          <w:rFonts w:ascii="Verdana" w:hAnsi="Verdana"/>
          <w:sz w:val="22"/>
          <w:szCs w:val="22"/>
        </w:rPr>
        <w:lastRenderedPageBreak/>
        <w:t>atención integral que protege la vida desde la gestación y reduce las brechas de vulnerabilidad en todo el territorio nacional.</w:t>
      </w:r>
    </w:p>
    <w:p w14:paraId="487CFBFB" w14:textId="12FFA0C3" w:rsidR="006E7DED" w:rsidRDefault="006E7DED" w:rsidP="00E42C8E">
      <w:pPr>
        <w:shd w:val="clear" w:color="auto" w:fill="FFFFFF"/>
        <w:spacing w:line="276" w:lineRule="auto"/>
        <w:jc w:val="both"/>
        <w:rPr>
          <w:rFonts w:ascii="Arial" w:hAnsi="Arial" w:cs="Arial"/>
          <w:color w:val="212121"/>
          <w:szCs w:val="24"/>
          <w:lang w:eastAsia="es-CO"/>
        </w:rPr>
      </w:pPr>
    </w:p>
    <w:p w14:paraId="3D633822" w14:textId="0B02D601" w:rsidR="00F57D8C" w:rsidRPr="006F6EE9" w:rsidRDefault="00F57D8C" w:rsidP="00E42C8E">
      <w:pPr>
        <w:shd w:val="clear" w:color="auto" w:fill="FFFFFF"/>
        <w:spacing w:line="276" w:lineRule="auto"/>
        <w:jc w:val="both"/>
        <w:rPr>
          <w:rFonts w:ascii="Arial" w:hAnsi="Arial" w:cs="Arial"/>
          <w:color w:val="212121"/>
          <w:szCs w:val="24"/>
          <w:lang w:eastAsia="es-CO"/>
        </w:rPr>
      </w:pPr>
    </w:p>
    <w:sectPr w:rsidR="00F57D8C" w:rsidRPr="006F6EE9">
      <w:headerReference w:type="default" r:id="rId7"/>
      <w:footerReference w:type="default" r:id="rId8"/>
      <w:type w:val="continuous"/>
      <w:pgSz w:w="12240" w:h="15840"/>
      <w:pgMar w:top="567" w:right="1134" w:bottom="1418" w:left="1701" w:header="1644" w:footer="2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23EF4" w14:textId="77777777" w:rsidR="00CF4AD3" w:rsidRDefault="00CF4AD3">
      <w:r>
        <w:separator/>
      </w:r>
    </w:p>
  </w:endnote>
  <w:endnote w:type="continuationSeparator" w:id="0">
    <w:p w14:paraId="339CB9DF" w14:textId="77777777" w:rsidR="00CF4AD3" w:rsidRDefault="00CF4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olido Book">
    <w:altName w:val="Calibri"/>
    <w:panose1 w:val="00000000000000000000"/>
    <w:charset w:val="00"/>
    <w:family w:val="swiss"/>
    <w:notTrueType/>
    <w:pitch w:val="default"/>
    <w:sig w:usb0="00000003" w:usb1="00000000" w:usb2="00000000" w:usb3="00000000" w:csb0="00000001" w:csb1="00000000"/>
  </w:font>
  <w:font w:name="Helvetica Light">
    <w:altName w:val="Arial Nova Light"/>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4BDD0" w14:textId="77777777" w:rsidR="00E366A4" w:rsidRDefault="00EE3DF0">
    <w:pPr>
      <w:spacing w:line="276" w:lineRule="auto"/>
      <w:jc w:val="both"/>
      <w:rPr>
        <w:rFonts w:ascii="Helvetica" w:hAnsi="Helvetica"/>
        <w:sz w:val="20"/>
      </w:rPr>
    </w:pPr>
    <w:r>
      <w:rPr>
        <w:rFonts w:ascii="Helvetica" w:hAnsi="Helvetica"/>
        <w:sz w:val="20"/>
      </w:rPr>
      <w:t>_________________________________________________________________________________</w:t>
    </w:r>
  </w:p>
  <w:p w14:paraId="0E22C855" w14:textId="77777777" w:rsidR="00E366A4" w:rsidRDefault="00EE3DF0">
    <w:pPr>
      <w:spacing w:line="276" w:lineRule="auto"/>
      <w:jc w:val="both"/>
      <w:rPr>
        <w:rFonts w:ascii="Verdana" w:hAnsi="Verdana"/>
        <w:b/>
        <w:color w:val="948A54" w:themeColor="background2" w:themeShade="80"/>
        <w:sz w:val="18"/>
      </w:rPr>
    </w:pPr>
    <w:r>
      <w:rPr>
        <w:rFonts w:ascii="Verdana" w:hAnsi="Verdana"/>
        <w:b/>
        <w:color w:val="948A54" w:themeColor="background2" w:themeShade="80"/>
        <w:sz w:val="18"/>
      </w:rPr>
      <w:t>Ministerio de Salud y Protección Social</w:t>
    </w:r>
  </w:p>
  <w:p w14:paraId="676C0A6A" w14:textId="77777777" w:rsidR="00E366A4" w:rsidRDefault="00EE3DF0">
    <w:pPr>
      <w:spacing w:line="276" w:lineRule="auto"/>
      <w:jc w:val="both"/>
      <w:rPr>
        <w:rFonts w:ascii="Verdana" w:hAnsi="Verdana"/>
        <w:color w:val="948A54" w:themeColor="background2" w:themeShade="80"/>
        <w:sz w:val="18"/>
      </w:rPr>
    </w:pPr>
    <w:r>
      <w:rPr>
        <w:rFonts w:ascii="Verdana" w:hAnsi="Verdana"/>
        <w:color w:val="948A54" w:themeColor="background2" w:themeShade="80"/>
        <w:sz w:val="18"/>
      </w:rPr>
      <w:t xml:space="preserve">Dirección: Carrera 13 No. 32-76, Bogotá D.C., Colombia                                               </w:t>
    </w:r>
    <w:r>
      <w:rPr>
        <w:lang w:val="es-ES"/>
      </w:rPr>
      <w:t xml:space="preserve">Página | </w:t>
    </w:r>
    <w:r>
      <w:fldChar w:fldCharType="begin"/>
    </w:r>
    <w:r>
      <w:instrText>PAGE   \* MERGEFORMAT</w:instrText>
    </w:r>
    <w:r>
      <w:fldChar w:fldCharType="separate"/>
    </w:r>
    <w:r>
      <w:t>#</w:t>
    </w:r>
    <w:r>
      <w:fldChar w:fldCharType="end"/>
    </w:r>
  </w:p>
  <w:p w14:paraId="36D884C9" w14:textId="77777777" w:rsidR="00E366A4" w:rsidRDefault="00EE3DF0">
    <w:pPr>
      <w:spacing w:line="276" w:lineRule="auto"/>
      <w:jc w:val="both"/>
      <w:rPr>
        <w:rFonts w:ascii="Verdana" w:hAnsi="Verdana"/>
        <w:color w:val="948A54" w:themeColor="background2" w:themeShade="80"/>
        <w:sz w:val="18"/>
      </w:rPr>
    </w:pPr>
    <w:r>
      <w:rPr>
        <w:rFonts w:ascii="Verdana" w:hAnsi="Verdana"/>
        <w:color w:val="948A54" w:themeColor="background2" w:themeShade="80"/>
        <w:sz w:val="18"/>
      </w:rPr>
      <w:t xml:space="preserve">Conmutador en Bogotá: (+57) 601 330 5043                                 </w:t>
    </w:r>
    <w:r>
      <w:rPr>
        <w:rFonts w:ascii="Verdana" w:hAnsi="Verdana"/>
        <w:color w:val="948A54" w:themeColor="background2" w:themeShade="80"/>
        <w:sz w:val="18"/>
      </w:rPr>
      <w:tab/>
    </w:r>
  </w:p>
  <w:p w14:paraId="2B6AEBA9" w14:textId="77777777" w:rsidR="00E366A4" w:rsidRDefault="00EE3DF0">
    <w:pPr>
      <w:spacing w:line="276" w:lineRule="auto"/>
      <w:jc w:val="both"/>
      <w:rPr>
        <w:rFonts w:ascii="Verdana" w:hAnsi="Verdana"/>
        <w:color w:val="948A54" w:themeColor="background2" w:themeShade="80"/>
        <w:sz w:val="18"/>
      </w:rPr>
    </w:pPr>
    <w:r>
      <w:rPr>
        <w:rFonts w:ascii="Verdana" w:hAnsi="Verdana"/>
        <w:color w:val="948A54" w:themeColor="background2" w:themeShade="80"/>
        <w:sz w:val="18"/>
      </w:rPr>
      <w:t>Resto del país: (+57) 01 8000 960020</w:t>
    </w:r>
  </w:p>
  <w:p w14:paraId="3FDF87AA" w14:textId="77777777" w:rsidR="00E366A4" w:rsidRDefault="00E366A4">
    <w:pPr>
      <w:jc w:val="both"/>
    </w:pPr>
  </w:p>
  <w:p w14:paraId="7D64535B" w14:textId="77777777" w:rsidR="00E366A4" w:rsidRDefault="00E366A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DABE0" w14:textId="77777777" w:rsidR="00CF4AD3" w:rsidRDefault="00CF4AD3">
      <w:r>
        <w:separator/>
      </w:r>
    </w:p>
  </w:footnote>
  <w:footnote w:type="continuationSeparator" w:id="0">
    <w:p w14:paraId="151DE0C9" w14:textId="77777777" w:rsidR="00CF4AD3" w:rsidRDefault="00CF4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839D4" w14:textId="77777777" w:rsidR="00E366A4" w:rsidRDefault="00EE3DF0">
    <w:r>
      <w:rPr>
        <w:noProof/>
      </w:rPr>
      <w:drawing>
        <wp:anchor distT="0" distB="0" distL="114300" distR="114300" simplePos="0" relativeHeight="251658240" behindDoc="1" locked="0" layoutInCell="1" allowOverlap="1" wp14:anchorId="686E9E2C" wp14:editId="76B6E741">
          <wp:simplePos x="0" y="0"/>
          <wp:positionH relativeFrom="page">
            <wp:align>center</wp:align>
          </wp:positionH>
          <wp:positionV relativeFrom="paragraph">
            <wp:posOffset>-770255</wp:posOffset>
          </wp:positionV>
          <wp:extent cx="819150" cy="847725"/>
          <wp:effectExtent l="0" t="0" r="0" b="0"/>
          <wp:wrapNone/>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stretch>
                    <a:fillRect/>
                  </a:stretch>
                </pic:blipFill>
                <pic:spPr>
                  <a:xfrm>
                    <a:off x="0" y="0"/>
                    <a:ext cx="819150" cy="8477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B83"/>
    <w:multiLevelType w:val="hybridMultilevel"/>
    <w:tmpl w:val="E83E3C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5971516"/>
    <w:multiLevelType w:val="hybridMultilevel"/>
    <w:tmpl w:val="55EE1C46"/>
    <w:lvl w:ilvl="0" w:tplc="0409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C6329D"/>
    <w:multiLevelType w:val="hybridMultilevel"/>
    <w:tmpl w:val="CEFE6F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D681F"/>
    <w:multiLevelType w:val="hybridMultilevel"/>
    <w:tmpl w:val="69C413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BFC0266"/>
    <w:multiLevelType w:val="hybridMultilevel"/>
    <w:tmpl w:val="6B40CCD4"/>
    <w:lvl w:ilvl="0" w:tplc="240A0001">
      <w:start w:val="1"/>
      <w:numFmt w:val="bullet"/>
      <w:lvlText w:val=""/>
      <w:lvlJc w:val="left"/>
      <w:pPr>
        <w:ind w:left="1428" w:hanging="360"/>
      </w:pPr>
      <w:rPr>
        <w:rFonts w:ascii="Symbol" w:hAnsi="Symbol" w:hint="default"/>
      </w:rPr>
    </w:lvl>
    <w:lvl w:ilvl="1" w:tplc="240A0003">
      <w:start w:val="1"/>
      <w:numFmt w:val="bullet"/>
      <w:lvlText w:val="o"/>
      <w:lvlJc w:val="left"/>
      <w:pPr>
        <w:ind w:left="2148" w:hanging="360"/>
      </w:pPr>
      <w:rPr>
        <w:rFonts w:ascii="Courier New" w:hAnsi="Courier New" w:cs="Courier New" w:hint="default"/>
      </w:rPr>
    </w:lvl>
    <w:lvl w:ilvl="2" w:tplc="240A0005">
      <w:start w:val="1"/>
      <w:numFmt w:val="bullet"/>
      <w:lvlText w:val=""/>
      <w:lvlJc w:val="left"/>
      <w:pPr>
        <w:ind w:left="2868" w:hanging="360"/>
      </w:pPr>
      <w:rPr>
        <w:rFonts w:ascii="Wingdings" w:hAnsi="Wingdings" w:hint="default"/>
      </w:rPr>
    </w:lvl>
    <w:lvl w:ilvl="3" w:tplc="240A0001">
      <w:start w:val="1"/>
      <w:numFmt w:val="bullet"/>
      <w:lvlText w:val=""/>
      <w:lvlJc w:val="left"/>
      <w:pPr>
        <w:ind w:left="3588" w:hanging="360"/>
      </w:pPr>
      <w:rPr>
        <w:rFonts w:ascii="Symbol" w:hAnsi="Symbol" w:hint="default"/>
      </w:rPr>
    </w:lvl>
    <w:lvl w:ilvl="4" w:tplc="240A0003">
      <w:start w:val="1"/>
      <w:numFmt w:val="bullet"/>
      <w:lvlText w:val="o"/>
      <w:lvlJc w:val="left"/>
      <w:pPr>
        <w:ind w:left="4308" w:hanging="360"/>
      </w:pPr>
      <w:rPr>
        <w:rFonts w:ascii="Courier New" w:hAnsi="Courier New" w:cs="Courier New" w:hint="default"/>
      </w:rPr>
    </w:lvl>
    <w:lvl w:ilvl="5" w:tplc="240A0005">
      <w:start w:val="1"/>
      <w:numFmt w:val="bullet"/>
      <w:lvlText w:val=""/>
      <w:lvlJc w:val="left"/>
      <w:pPr>
        <w:ind w:left="5028" w:hanging="360"/>
      </w:pPr>
      <w:rPr>
        <w:rFonts w:ascii="Wingdings" w:hAnsi="Wingdings" w:hint="default"/>
      </w:rPr>
    </w:lvl>
    <w:lvl w:ilvl="6" w:tplc="240A0001">
      <w:start w:val="1"/>
      <w:numFmt w:val="bullet"/>
      <w:lvlText w:val=""/>
      <w:lvlJc w:val="left"/>
      <w:pPr>
        <w:ind w:left="5748" w:hanging="360"/>
      </w:pPr>
      <w:rPr>
        <w:rFonts w:ascii="Symbol" w:hAnsi="Symbol" w:hint="default"/>
      </w:rPr>
    </w:lvl>
    <w:lvl w:ilvl="7" w:tplc="240A0003">
      <w:start w:val="1"/>
      <w:numFmt w:val="bullet"/>
      <w:lvlText w:val="o"/>
      <w:lvlJc w:val="left"/>
      <w:pPr>
        <w:ind w:left="6468" w:hanging="360"/>
      </w:pPr>
      <w:rPr>
        <w:rFonts w:ascii="Courier New" w:hAnsi="Courier New" w:cs="Courier New" w:hint="default"/>
      </w:rPr>
    </w:lvl>
    <w:lvl w:ilvl="8" w:tplc="240A0005">
      <w:start w:val="1"/>
      <w:numFmt w:val="bullet"/>
      <w:lvlText w:val=""/>
      <w:lvlJc w:val="left"/>
      <w:pPr>
        <w:ind w:left="7188" w:hanging="360"/>
      </w:pPr>
      <w:rPr>
        <w:rFonts w:ascii="Wingdings" w:hAnsi="Wingdings" w:hint="default"/>
      </w:rPr>
    </w:lvl>
  </w:abstractNum>
  <w:abstractNum w:abstractNumId="5" w15:restartNumberingAfterBreak="0">
    <w:nsid w:val="0CCA5AEA"/>
    <w:multiLevelType w:val="hybridMultilevel"/>
    <w:tmpl w:val="3EC09D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CD73677"/>
    <w:multiLevelType w:val="hybridMultilevel"/>
    <w:tmpl w:val="557868A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0E5D3EC9"/>
    <w:multiLevelType w:val="hybridMultilevel"/>
    <w:tmpl w:val="E6C6F4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E9D6091"/>
    <w:multiLevelType w:val="hybridMultilevel"/>
    <w:tmpl w:val="B630D76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24E61F2"/>
    <w:multiLevelType w:val="hybridMultilevel"/>
    <w:tmpl w:val="B28660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45F2C07"/>
    <w:multiLevelType w:val="hybridMultilevel"/>
    <w:tmpl w:val="8826BF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67670A5"/>
    <w:multiLevelType w:val="hybridMultilevel"/>
    <w:tmpl w:val="1FCC5D44"/>
    <w:lvl w:ilvl="0" w:tplc="87F8B570">
      <w:start w:val="1"/>
      <w:numFmt w:val="decimal"/>
      <w:lvlText w:val="%1."/>
      <w:lvlJc w:val="left"/>
      <w:pPr>
        <w:ind w:left="720" w:hanging="360"/>
      </w:pPr>
      <w:rPr>
        <w:rFonts w:cs="TimesNewRomanPSMT"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BCB6367"/>
    <w:multiLevelType w:val="hybridMultilevel"/>
    <w:tmpl w:val="5E80E3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1962832"/>
    <w:multiLevelType w:val="hybridMultilevel"/>
    <w:tmpl w:val="8430B754"/>
    <w:lvl w:ilvl="0" w:tplc="7CBE221E">
      <w:start w:val="1"/>
      <w:numFmt w:val="decimal"/>
      <w:lvlText w:val="%1."/>
      <w:lvlJc w:val="left"/>
      <w:pPr>
        <w:ind w:left="360" w:hanging="360"/>
      </w:pPr>
      <w:rPr>
        <w:b/>
        <w:bCs/>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14" w15:restartNumberingAfterBreak="0">
    <w:nsid w:val="22EE31EC"/>
    <w:multiLevelType w:val="hybridMultilevel"/>
    <w:tmpl w:val="B1E088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3047A4A"/>
    <w:multiLevelType w:val="hybridMultilevel"/>
    <w:tmpl w:val="62140D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2855D55"/>
    <w:multiLevelType w:val="hybridMultilevel"/>
    <w:tmpl w:val="7E5020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51F22F3"/>
    <w:multiLevelType w:val="hybridMultilevel"/>
    <w:tmpl w:val="1D72EBF0"/>
    <w:lvl w:ilvl="0" w:tplc="2DC445FE">
      <w:start w:val="1"/>
      <w:numFmt w:val="decimal"/>
      <w:lvlText w:val="%1."/>
      <w:lvlJc w:val="left"/>
      <w:pPr>
        <w:ind w:left="720" w:hanging="360"/>
      </w:pPr>
      <w:rPr>
        <w:rFonts w:hint="default"/>
        <w:b w:val="0"/>
        <w:bCs/>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73E789E"/>
    <w:multiLevelType w:val="multilevel"/>
    <w:tmpl w:val="45D43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904DA8"/>
    <w:multiLevelType w:val="hybridMultilevel"/>
    <w:tmpl w:val="B80AF9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87D54AF"/>
    <w:multiLevelType w:val="hybridMultilevel"/>
    <w:tmpl w:val="2236CA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B712D12"/>
    <w:multiLevelType w:val="hybridMultilevel"/>
    <w:tmpl w:val="77D6AA1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BB12746"/>
    <w:multiLevelType w:val="hybridMultilevel"/>
    <w:tmpl w:val="A664BB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10F1CB1"/>
    <w:multiLevelType w:val="hybridMultilevel"/>
    <w:tmpl w:val="C88067B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4" w15:restartNumberingAfterBreak="0">
    <w:nsid w:val="42836A8B"/>
    <w:multiLevelType w:val="hybridMultilevel"/>
    <w:tmpl w:val="5114E2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3892037"/>
    <w:multiLevelType w:val="hybridMultilevel"/>
    <w:tmpl w:val="3F389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BA04B8"/>
    <w:multiLevelType w:val="hybridMultilevel"/>
    <w:tmpl w:val="0AA2426C"/>
    <w:lvl w:ilvl="0" w:tplc="B61A903C">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8C6285C"/>
    <w:multiLevelType w:val="hybridMultilevel"/>
    <w:tmpl w:val="1D546CF6"/>
    <w:lvl w:ilvl="0" w:tplc="0409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B94377A"/>
    <w:multiLevelType w:val="multilevel"/>
    <w:tmpl w:val="FAE487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A06883"/>
    <w:multiLevelType w:val="hybridMultilevel"/>
    <w:tmpl w:val="6ADA9386"/>
    <w:lvl w:ilvl="0" w:tplc="B61A903C">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7AE6CC2"/>
    <w:multiLevelType w:val="hybridMultilevel"/>
    <w:tmpl w:val="34843C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B31247F"/>
    <w:multiLevelType w:val="hybridMultilevel"/>
    <w:tmpl w:val="B4C696B6"/>
    <w:lvl w:ilvl="0" w:tplc="B61A903C">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F092DF1"/>
    <w:multiLevelType w:val="hybridMultilevel"/>
    <w:tmpl w:val="72A6CB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0DF207E"/>
    <w:multiLevelType w:val="multilevel"/>
    <w:tmpl w:val="9558F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843312"/>
    <w:multiLevelType w:val="multilevel"/>
    <w:tmpl w:val="0CBC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F3333B"/>
    <w:multiLevelType w:val="hybridMultilevel"/>
    <w:tmpl w:val="2B4C86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9651E67"/>
    <w:multiLevelType w:val="hybridMultilevel"/>
    <w:tmpl w:val="482ADD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C007FC3"/>
    <w:multiLevelType w:val="hybridMultilevel"/>
    <w:tmpl w:val="7CC63368"/>
    <w:lvl w:ilvl="0" w:tplc="B61A903C">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748A2E51"/>
    <w:multiLevelType w:val="hybridMultilevel"/>
    <w:tmpl w:val="274C0E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77BF289C"/>
    <w:multiLevelType w:val="hybridMultilevel"/>
    <w:tmpl w:val="532421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7F1289F"/>
    <w:multiLevelType w:val="hybridMultilevel"/>
    <w:tmpl w:val="4B2E85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D62596C"/>
    <w:multiLevelType w:val="hybridMultilevel"/>
    <w:tmpl w:val="8DB866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49919290">
    <w:abstractNumId w:val="14"/>
  </w:num>
  <w:num w:numId="2" w16cid:durableId="906065593">
    <w:abstractNumId w:val="7"/>
  </w:num>
  <w:num w:numId="3" w16cid:durableId="1423641119">
    <w:abstractNumId w:val="12"/>
  </w:num>
  <w:num w:numId="4" w16cid:durableId="361513852">
    <w:abstractNumId w:val="40"/>
  </w:num>
  <w:num w:numId="5" w16cid:durableId="434640679">
    <w:abstractNumId w:val="32"/>
  </w:num>
  <w:num w:numId="6" w16cid:durableId="1498766504">
    <w:abstractNumId w:val="30"/>
  </w:num>
  <w:num w:numId="7" w16cid:durableId="1291784774">
    <w:abstractNumId w:val="16"/>
  </w:num>
  <w:num w:numId="8" w16cid:durableId="1917401793">
    <w:abstractNumId w:val="34"/>
  </w:num>
  <w:num w:numId="9" w16cid:durableId="1894777789">
    <w:abstractNumId w:val="15"/>
  </w:num>
  <w:num w:numId="10" w16cid:durableId="7459570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55701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7709834">
    <w:abstractNumId w:val="4"/>
  </w:num>
  <w:num w:numId="13" w16cid:durableId="3216597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820904">
    <w:abstractNumId w:val="37"/>
  </w:num>
  <w:num w:numId="15" w16cid:durableId="1182165241">
    <w:abstractNumId w:val="31"/>
  </w:num>
  <w:num w:numId="16" w16cid:durableId="1279680479">
    <w:abstractNumId w:val="26"/>
  </w:num>
  <w:num w:numId="17" w16cid:durableId="2143845806">
    <w:abstractNumId w:val="29"/>
  </w:num>
  <w:num w:numId="18" w16cid:durableId="1823303929">
    <w:abstractNumId w:val="17"/>
  </w:num>
  <w:num w:numId="19" w16cid:durableId="1729575401">
    <w:abstractNumId w:val="41"/>
  </w:num>
  <w:num w:numId="20" w16cid:durableId="917135394">
    <w:abstractNumId w:val="10"/>
  </w:num>
  <w:num w:numId="21" w16cid:durableId="1432314667">
    <w:abstractNumId w:val="36"/>
  </w:num>
  <w:num w:numId="22" w16cid:durableId="982200811">
    <w:abstractNumId w:val="11"/>
  </w:num>
  <w:num w:numId="23" w16cid:durableId="169683605">
    <w:abstractNumId w:val="3"/>
  </w:num>
  <w:num w:numId="24" w16cid:durableId="1576015586">
    <w:abstractNumId w:val="0"/>
  </w:num>
  <w:num w:numId="25" w16cid:durableId="727873556">
    <w:abstractNumId w:val="19"/>
  </w:num>
  <w:num w:numId="26" w16cid:durableId="1770077954">
    <w:abstractNumId w:val="33"/>
  </w:num>
  <w:num w:numId="27" w16cid:durableId="1063411493">
    <w:abstractNumId w:val="28"/>
  </w:num>
  <w:num w:numId="28" w16cid:durableId="855459128">
    <w:abstractNumId w:val="27"/>
  </w:num>
  <w:num w:numId="29" w16cid:durableId="28847965">
    <w:abstractNumId w:val="2"/>
  </w:num>
  <w:num w:numId="30" w16cid:durableId="1305701238">
    <w:abstractNumId w:val="20"/>
  </w:num>
  <w:num w:numId="31" w16cid:durableId="1518546530">
    <w:abstractNumId w:val="24"/>
  </w:num>
  <w:num w:numId="32" w16cid:durableId="784731642">
    <w:abstractNumId w:val="5"/>
  </w:num>
  <w:num w:numId="33" w16cid:durableId="101651211">
    <w:abstractNumId w:val="1"/>
  </w:num>
  <w:num w:numId="34" w16cid:durableId="137966486">
    <w:abstractNumId w:val="25"/>
  </w:num>
  <w:num w:numId="35" w16cid:durableId="1961178454">
    <w:abstractNumId w:val="6"/>
  </w:num>
  <w:num w:numId="36" w16cid:durableId="1796871689">
    <w:abstractNumId w:val="9"/>
  </w:num>
  <w:num w:numId="37" w16cid:durableId="426775582">
    <w:abstractNumId w:val="35"/>
  </w:num>
  <w:num w:numId="38" w16cid:durableId="1017776339">
    <w:abstractNumId w:val="22"/>
  </w:num>
  <w:num w:numId="39" w16cid:durableId="2002613275">
    <w:abstractNumId w:val="38"/>
  </w:num>
  <w:num w:numId="40" w16cid:durableId="1708943876">
    <w:abstractNumId w:val="39"/>
  </w:num>
  <w:num w:numId="41" w16cid:durableId="1874079223">
    <w:abstractNumId w:val="18"/>
  </w:num>
  <w:num w:numId="42" w16cid:durableId="184248935">
    <w:abstractNumId w:val="21"/>
  </w:num>
  <w:num w:numId="43" w16cid:durableId="20329503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6A4"/>
    <w:rsid w:val="00000835"/>
    <w:rsid w:val="00006813"/>
    <w:rsid w:val="00010F19"/>
    <w:rsid w:val="00014F80"/>
    <w:rsid w:val="000221EF"/>
    <w:rsid w:val="00022425"/>
    <w:rsid w:val="0003183B"/>
    <w:rsid w:val="00031C34"/>
    <w:rsid w:val="000347D2"/>
    <w:rsid w:val="00036182"/>
    <w:rsid w:val="0004001F"/>
    <w:rsid w:val="0004280B"/>
    <w:rsid w:val="00050EB5"/>
    <w:rsid w:val="00053EB7"/>
    <w:rsid w:val="00061BEE"/>
    <w:rsid w:val="0007661E"/>
    <w:rsid w:val="00084669"/>
    <w:rsid w:val="00085AA4"/>
    <w:rsid w:val="000862F2"/>
    <w:rsid w:val="0009124B"/>
    <w:rsid w:val="000A5182"/>
    <w:rsid w:val="000B07DA"/>
    <w:rsid w:val="000B4318"/>
    <w:rsid w:val="000B7876"/>
    <w:rsid w:val="000C28A8"/>
    <w:rsid w:val="000C4C14"/>
    <w:rsid w:val="000C68E8"/>
    <w:rsid w:val="000C6B99"/>
    <w:rsid w:val="000D33DA"/>
    <w:rsid w:val="000D4727"/>
    <w:rsid w:val="000D7D71"/>
    <w:rsid w:val="000E6E71"/>
    <w:rsid w:val="000E7C98"/>
    <w:rsid w:val="00102DCE"/>
    <w:rsid w:val="00104841"/>
    <w:rsid w:val="00106040"/>
    <w:rsid w:val="00107C83"/>
    <w:rsid w:val="001171A4"/>
    <w:rsid w:val="001251CB"/>
    <w:rsid w:val="001253E8"/>
    <w:rsid w:val="001257D7"/>
    <w:rsid w:val="001301AE"/>
    <w:rsid w:val="001430D8"/>
    <w:rsid w:val="001569CB"/>
    <w:rsid w:val="001606E5"/>
    <w:rsid w:val="00161FE6"/>
    <w:rsid w:val="001769F1"/>
    <w:rsid w:val="001776B0"/>
    <w:rsid w:val="00177FAD"/>
    <w:rsid w:val="001804B8"/>
    <w:rsid w:val="00181190"/>
    <w:rsid w:val="00181491"/>
    <w:rsid w:val="00182F18"/>
    <w:rsid w:val="001832F6"/>
    <w:rsid w:val="00184C36"/>
    <w:rsid w:val="00185B8E"/>
    <w:rsid w:val="00185C54"/>
    <w:rsid w:val="00194380"/>
    <w:rsid w:val="00194F59"/>
    <w:rsid w:val="001A2F5E"/>
    <w:rsid w:val="001B5F78"/>
    <w:rsid w:val="001C0D7B"/>
    <w:rsid w:val="001D7BBC"/>
    <w:rsid w:val="001E6160"/>
    <w:rsid w:val="001E76F5"/>
    <w:rsid w:val="001F42F7"/>
    <w:rsid w:val="001F4FDC"/>
    <w:rsid w:val="00201244"/>
    <w:rsid w:val="002069A0"/>
    <w:rsid w:val="00206ECA"/>
    <w:rsid w:val="00207823"/>
    <w:rsid w:val="00220E74"/>
    <w:rsid w:val="002214E5"/>
    <w:rsid w:val="00222084"/>
    <w:rsid w:val="002234DD"/>
    <w:rsid w:val="00232482"/>
    <w:rsid w:val="0023655D"/>
    <w:rsid w:val="00237383"/>
    <w:rsid w:val="00237758"/>
    <w:rsid w:val="00241AF5"/>
    <w:rsid w:val="00247B01"/>
    <w:rsid w:val="0026667C"/>
    <w:rsid w:val="0027315D"/>
    <w:rsid w:val="00277DB9"/>
    <w:rsid w:val="0028013E"/>
    <w:rsid w:val="002806CF"/>
    <w:rsid w:val="00291022"/>
    <w:rsid w:val="00291E59"/>
    <w:rsid w:val="0029443A"/>
    <w:rsid w:val="002A0060"/>
    <w:rsid w:val="002A0FB1"/>
    <w:rsid w:val="002A7536"/>
    <w:rsid w:val="002B08A5"/>
    <w:rsid w:val="002B0CAC"/>
    <w:rsid w:val="002B1465"/>
    <w:rsid w:val="002B1CE9"/>
    <w:rsid w:val="002B39F1"/>
    <w:rsid w:val="002B6DC4"/>
    <w:rsid w:val="002C2A1A"/>
    <w:rsid w:val="002C59E6"/>
    <w:rsid w:val="002C73A2"/>
    <w:rsid w:val="002D5455"/>
    <w:rsid w:val="002E1518"/>
    <w:rsid w:val="002E6B03"/>
    <w:rsid w:val="002F6E8B"/>
    <w:rsid w:val="00306CF7"/>
    <w:rsid w:val="003076B2"/>
    <w:rsid w:val="00311E12"/>
    <w:rsid w:val="00324488"/>
    <w:rsid w:val="003245D0"/>
    <w:rsid w:val="003260E9"/>
    <w:rsid w:val="003401AC"/>
    <w:rsid w:val="00344564"/>
    <w:rsid w:val="00344BB3"/>
    <w:rsid w:val="0034731F"/>
    <w:rsid w:val="00352932"/>
    <w:rsid w:val="003543C1"/>
    <w:rsid w:val="00356A88"/>
    <w:rsid w:val="003825B6"/>
    <w:rsid w:val="003832D9"/>
    <w:rsid w:val="0039153C"/>
    <w:rsid w:val="0039230C"/>
    <w:rsid w:val="003A12B6"/>
    <w:rsid w:val="003B1940"/>
    <w:rsid w:val="003B768D"/>
    <w:rsid w:val="003C124A"/>
    <w:rsid w:val="003C46DA"/>
    <w:rsid w:val="003D211C"/>
    <w:rsid w:val="003E2D76"/>
    <w:rsid w:val="003F4D8F"/>
    <w:rsid w:val="003F5CC9"/>
    <w:rsid w:val="003F74D4"/>
    <w:rsid w:val="004014F8"/>
    <w:rsid w:val="00401544"/>
    <w:rsid w:val="00403312"/>
    <w:rsid w:val="004056B6"/>
    <w:rsid w:val="004062D5"/>
    <w:rsid w:val="004158D2"/>
    <w:rsid w:val="00432000"/>
    <w:rsid w:val="0044022A"/>
    <w:rsid w:val="00444889"/>
    <w:rsid w:val="00446698"/>
    <w:rsid w:val="00452762"/>
    <w:rsid w:val="00455E9D"/>
    <w:rsid w:val="00457170"/>
    <w:rsid w:val="004604D9"/>
    <w:rsid w:val="00463D5E"/>
    <w:rsid w:val="00464449"/>
    <w:rsid w:val="0047169D"/>
    <w:rsid w:val="00475073"/>
    <w:rsid w:val="00481659"/>
    <w:rsid w:val="0048276B"/>
    <w:rsid w:val="00483B86"/>
    <w:rsid w:val="00484A57"/>
    <w:rsid w:val="004913AB"/>
    <w:rsid w:val="0049310D"/>
    <w:rsid w:val="00494634"/>
    <w:rsid w:val="00497C2D"/>
    <w:rsid w:val="004A574E"/>
    <w:rsid w:val="004C1BBB"/>
    <w:rsid w:val="004C69F2"/>
    <w:rsid w:val="004C7254"/>
    <w:rsid w:val="004E1F7D"/>
    <w:rsid w:val="004E67FF"/>
    <w:rsid w:val="004F2084"/>
    <w:rsid w:val="0050037B"/>
    <w:rsid w:val="00504092"/>
    <w:rsid w:val="00510222"/>
    <w:rsid w:val="00512C45"/>
    <w:rsid w:val="00515B90"/>
    <w:rsid w:val="0053466B"/>
    <w:rsid w:val="005367E3"/>
    <w:rsid w:val="00540D45"/>
    <w:rsid w:val="00542C16"/>
    <w:rsid w:val="00543EB0"/>
    <w:rsid w:val="00552380"/>
    <w:rsid w:val="00553A99"/>
    <w:rsid w:val="0056106F"/>
    <w:rsid w:val="005632B2"/>
    <w:rsid w:val="00565DF7"/>
    <w:rsid w:val="00571EC4"/>
    <w:rsid w:val="005768D8"/>
    <w:rsid w:val="0057756B"/>
    <w:rsid w:val="0057797C"/>
    <w:rsid w:val="0058180F"/>
    <w:rsid w:val="005827BF"/>
    <w:rsid w:val="00584159"/>
    <w:rsid w:val="0058461D"/>
    <w:rsid w:val="00586C76"/>
    <w:rsid w:val="0058743B"/>
    <w:rsid w:val="00587BA0"/>
    <w:rsid w:val="00591109"/>
    <w:rsid w:val="00595F57"/>
    <w:rsid w:val="00597321"/>
    <w:rsid w:val="005A11CA"/>
    <w:rsid w:val="005A163F"/>
    <w:rsid w:val="005A7EC6"/>
    <w:rsid w:val="005B29A4"/>
    <w:rsid w:val="005B3294"/>
    <w:rsid w:val="005C08CC"/>
    <w:rsid w:val="005E51DB"/>
    <w:rsid w:val="005F1326"/>
    <w:rsid w:val="005F1F5C"/>
    <w:rsid w:val="005F261E"/>
    <w:rsid w:val="005F2F1D"/>
    <w:rsid w:val="00606301"/>
    <w:rsid w:val="00607CE5"/>
    <w:rsid w:val="00617440"/>
    <w:rsid w:val="00620415"/>
    <w:rsid w:val="00622D3F"/>
    <w:rsid w:val="00632397"/>
    <w:rsid w:val="006345F6"/>
    <w:rsid w:val="00640674"/>
    <w:rsid w:val="00643754"/>
    <w:rsid w:val="00645A50"/>
    <w:rsid w:val="0065695B"/>
    <w:rsid w:val="00661C89"/>
    <w:rsid w:val="0067152C"/>
    <w:rsid w:val="00675873"/>
    <w:rsid w:val="00677775"/>
    <w:rsid w:val="006977DD"/>
    <w:rsid w:val="006A0B24"/>
    <w:rsid w:val="006A0F53"/>
    <w:rsid w:val="006A2DFB"/>
    <w:rsid w:val="006A712B"/>
    <w:rsid w:val="006B20BE"/>
    <w:rsid w:val="006C2AFC"/>
    <w:rsid w:val="006C4AA3"/>
    <w:rsid w:val="006D2D7C"/>
    <w:rsid w:val="006D4691"/>
    <w:rsid w:val="006D6F03"/>
    <w:rsid w:val="006E42C2"/>
    <w:rsid w:val="006E5270"/>
    <w:rsid w:val="006E5330"/>
    <w:rsid w:val="006E7DED"/>
    <w:rsid w:val="006F05B7"/>
    <w:rsid w:val="006F6EE9"/>
    <w:rsid w:val="006F757E"/>
    <w:rsid w:val="007003B3"/>
    <w:rsid w:val="00702C05"/>
    <w:rsid w:val="00706695"/>
    <w:rsid w:val="00706799"/>
    <w:rsid w:val="007134D0"/>
    <w:rsid w:val="007163A0"/>
    <w:rsid w:val="00730B51"/>
    <w:rsid w:val="00733DA4"/>
    <w:rsid w:val="00747E26"/>
    <w:rsid w:val="00752959"/>
    <w:rsid w:val="00755641"/>
    <w:rsid w:val="00755E06"/>
    <w:rsid w:val="00756B3D"/>
    <w:rsid w:val="00762789"/>
    <w:rsid w:val="00766364"/>
    <w:rsid w:val="0077400F"/>
    <w:rsid w:val="00775287"/>
    <w:rsid w:val="0077636E"/>
    <w:rsid w:val="00777084"/>
    <w:rsid w:val="0077715A"/>
    <w:rsid w:val="00780104"/>
    <w:rsid w:val="00781831"/>
    <w:rsid w:val="00783ED5"/>
    <w:rsid w:val="00791C43"/>
    <w:rsid w:val="007A14CF"/>
    <w:rsid w:val="007A268B"/>
    <w:rsid w:val="007A600A"/>
    <w:rsid w:val="007B36A7"/>
    <w:rsid w:val="007C3AA3"/>
    <w:rsid w:val="007C6355"/>
    <w:rsid w:val="007C7D93"/>
    <w:rsid w:val="007D0600"/>
    <w:rsid w:val="007D7CAA"/>
    <w:rsid w:val="007E2498"/>
    <w:rsid w:val="007E70FE"/>
    <w:rsid w:val="007F556C"/>
    <w:rsid w:val="008012C6"/>
    <w:rsid w:val="00802951"/>
    <w:rsid w:val="00803C79"/>
    <w:rsid w:val="008069BD"/>
    <w:rsid w:val="00812B41"/>
    <w:rsid w:val="00813A8C"/>
    <w:rsid w:val="00813C5A"/>
    <w:rsid w:val="008145E0"/>
    <w:rsid w:val="00823608"/>
    <w:rsid w:val="00823E4F"/>
    <w:rsid w:val="008250B1"/>
    <w:rsid w:val="00855038"/>
    <w:rsid w:val="0085576A"/>
    <w:rsid w:val="00856959"/>
    <w:rsid w:val="008619CA"/>
    <w:rsid w:val="00864F30"/>
    <w:rsid w:val="008668D7"/>
    <w:rsid w:val="00867B48"/>
    <w:rsid w:val="00877489"/>
    <w:rsid w:val="008879F3"/>
    <w:rsid w:val="00893FE7"/>
    <w:rsid w:val="008946D7"/>
    <w:rsid w:val="008A272B"/>
    <w:rsid w:val="008A2CF6"/>
    <w:rsid w:val="008A4AA1"/>
    <w:rsid w:val="008A5676"/>
    <w:rsid w:val="008B3628"/>
    <w:rsid w:val="008B744D"/>
    <w:rsid w:val="008B748D"/>
    <w:rsid w:val="008B7764"/>
    <w:rsid w:val="008C437A"/>
    <w:rsid w:val="008C4820"/>
    <w:rsid w:val="008C4B10"/>
    <w:rsid w:val="008C6CDD"/>
    <w:rsid w:val="008D65AF"/>
    <w:rsid w:val="008E28B9"/>
    <w:rsid w:val="008E3EFF"/>
    <w:rsid w:val="008E720D"/>
    <w:rsid w:val="008E7647"/>
    <w:rsid w:val="008F0A06"/>
    <w:rsid w:val="008F3058"/>
    <w:rsid w:val="008F42BE"/>
    <w:rsid w:val="00913FCC"/>
    <w:rsid w:val="0091545B"/>
    <w:rsid w:val="0091671C"/>
    <w:rsid w:val="00916A1A"/>
    <w:rsid w:val="00937E78"/>
    <w:rsid w:val="00941713"/>
    <w:rsid w:val="0095515C"/>
    <w:rsid w:val="00961720"/>
    <w:rsid w:val="00963621"/>
    <w:rsid w:val="00963C54"/>
    <w:rsid w:val="009675C9"/>
    <w:rsid w:val="00970258"/>
    <w:rsid w:val="00972011"/>
    <w:rsid w:val="00972298"/>
    <w:rsid w:val="00972E23"/>
    <w:rsid w:val="00977221"/>
    <w:rsid w:val="0098049C"/>
    <w:rsid w:val="0098093D"/>
    <w:rsid w:val="00983E96"/>
    <w:rsid w:val="009A38E2"/>
    <w:rsid w:val="009A3D0A"/>
    <w:rsid w:val="009A5D5E"/>
    <w:rsid w:val="009B4EB1"/>
    <w:rsid w:val="009B6479"/>
    <w:rsid w:val="009B6FEA"/>
    <w:rsid w:val="009C3CFA"/>
    <w:rsid w:val="009C67B0"/>
    <w:rsid w:val="009C7869"/>
    <w:rsid w:val="009D5E23"/>
    <w:rsid w:val="009D64B2"/>
    <w:rsid w:val="00A11C17"/>
    <w:rsid w:val="00A16EBF"/>
    <w:rsid w:val="00A206A0"/>
    <w:rsid w:val="00A218D2"/>
    <w:rsid w:val="00A23809"/>
    <w:rsid w:val="00A242B8"/>
    <w:rsid w:val="00A25FF8"/>
    <w:rsid w:val="00A32C04"/>
    <w:rsid w:val="00A355FC"/>
    <w:rsid w:val="00A417E8"/>
    <w:rsid w:val="00A44AD1"/>
    <w:rsid w:val="00A45BDC"/>
    <w:rsid w:val="00A51F82"/>
    <w:rsid w:val="00A5570E"/>
    <w:rsid w:val="00A60F93"/>
    <w:rsid w:val="00A62CDB"/>
    <w:rsid w:val="00A75E80"/>
    <w:rsid w:val="00A775AE"/>
    <w:rsid w:val="00A85F79"/>
    <w:rsid w:val="00A95CBF"/>
    <w:rsid w:val="00AA20BE"/>
    <w:rsid w:val="00AA2948"/>
    <w:rsid w:val="00AA377E"/>
    <w:rsid w:val="00AA783B"/>
    <w:rsid w:val="00AA7AF5"/>
    <w:rsid w:val="00AB457C"/>
    <w:rsid w:val="00AB5F21"/>
    <w:rsid w:val="00AC0EAE"/>
    <w:rsid w:val="00AC31EE"/>
    <w:rsid w:val="00AC370A"/>
    <w:rsid w:val="00AD5F4B"/>
    <w:rsid w:val="00AE0F62"/>
    <w:rsid w:val="00AF3B79"/>
    <w:rsid w:val="00AF6CA0"/>
    <w:rsid w:val="00AF71EF"/>
    <w:rsid w:val="00B06CEC"/>
    <w:rsid w:val="00B15084"/>
    <w:rsid w:val="00B205BC"/>
    <w:rsid w:val="00B20C6A"/>
    <w:rsid w:val="00B23478"/>
    <w:rsid w:val="00B320E2"/>
    <w:rsid w:val="00B3420C"/>
    <w:rsid w:val="00B35439"/>
    <w:rsid w:val="00B472E3"/>
    <w:rsid w:val="00B5219E"/>
    <w:rsid w:val="00B56F22"/>
    <w:rsid w:val="00B61AD7"/>
    <w:rsid w:val="00B6356B"/>
    <w:rsid w:val="00B71255"/>
    <w:rsid w:val="00B7171F"/>
    <w:rsid w:val="00B76B16"/>
    <w:rsid w:val="00B907CB"/>
    <w:rsid w:val="00B960B1"/>
    <w:rsid w:val="00BA1FAD"/>
    <w:rsid w:val="00BA2368"/>
    <w:rsid w:val="00BA3B77"/>
    <w:rsid w:val="00BA52CA"/>
    <w:rsid w:val="00BB0A6D"/>
    <w:rsid w:val="00BB7224"/>
    <w:rsid w:val="00BC4F99"/>
    <w:rsid w:val="00BD74EC"/>
    <w:rsid w:val="00BE0965"/>
    <w:rsid w:val="00BE291E"/>
    <w:rsid w:val="00BE6EB5"/>
    <w:rsid w:val="00BE7155"/>
    <w:rsid w:val="00BF79E6"/>
    <w:rsid w:val="00C1502C"/>
    <w:rsid w:val="00C22D79"/>
    <w:rsid w:val="00C2667A"/>
    <w:rsid w:val="00C279FF"/>
    <w:rsid w:val="00C30109"/>
    <w:rsid w:val="00C33602"/>
    <w:rsid w:val="00C40838"/>
    <w:rsid w:val="00C425C2"/>
    <w:rsid w:val="00C438EC"/>
    <w:rsid w:val="00C46865"/>
    <w:rsid w:val="00C4791C"/>
    <w:rsid w:val="00C554E1"/>
    <w:rsid w:val="00C71824"/>
    <w:rsid w:val="00C73F72"/>
    <w:rsid w:val="00C745A0"/>
    <w:rsid w:val="00C813F0"/>
    <w:rsid w:val="00CA0E54"/>
    <w:rsid w:val="00CB2A38"/>
    <w:rsid w:val="00CB62D0"/>
    <w:rsid w:val="00CB65FD"/>
    <w:rsid w:val="00CC1D5B"/>
    <w:rsid w:val="00CC2974"/>
    <w:rsid w:val="00CC4634"/>
    <w:rsid w:val="00CC4EA7"/>
    <w:rsid w:val="00CD0DBA"/>
    <w:rsid w:val="00CD1333"/>
    <w:rsid w:val="00CD7C8B"/>
    <w:rsid w:val="00CE37D4"/>
    <w:rsid w:val="00CF4AD3"/>
    <w:rsid w:val="00D01670"/>
    <w:rsid w:val="00D02E01"/>
    <w:rsid w:val="00D03E50"/>
    <w:rsid w:val="00D0720D"/>
    <w:rsid w:val="00D17777"/>
    <w:rsid w:val="00D204C8"/>
    <w:rsid w:val="00D23F01"/>
    <w:rsid w:val="00D26986"/>
    <w:rsid w:val="00D330A7"/>
    <w:rsid w:val="00D401E3"/>
    <w:rsid w:val="00D403AD"/>
    <w:rsid w:val="00D4535F"/>
    <w:rsid w:val="00D63118"/>
    <w:rsid w:val="00D66DB7"/>
    <w:rsid w:val="00D713EF"/>
    <w:rsid w:val="00D71F0C"/>
    <w:rsid w:val="00D766DF"/>
    <w:rsid w:val="00D903A3"/>
    <w:rsid w:val="00D965DA"/>
    <w:rsid w:val="00D96D8E"/>
    <w:rsid w:val="00DB3118"/>
    <w:rsid w:val="00DB522F"/>
    <w:rsid w:val="00DB6009"/>
    <w:rsid w:val="00DC2381"/>
    <w:rsid w:val="00DC3154"/>
    <w:rsid w:val="00DD05D5"/>
    <w:rsid w:val="00DD0E7D"/>
    <w:rsid w:val="00DD7E2F"/>
    <w:rsid w:val="00DE0C68"/>
    <w:rsid w:val="00DE33F0"/>
    <w:rsid w:val="00DE58FD"/>
    <w:rsid w:val="00DF1826"/>
    <w:rsid w:val="00DF2749"/>
    <w:rsid w:val="00DF7531"/>
    <w:rsid w:val="00E03C77"/>
    <w:rsid w:val="00E03E7C"/>
    <w:rsid w:val="00E060A7"/>
    <w:rsid w:val="00E21459"/>
    <w:rsid w:val="00E2698A"/>
    <w:rsid w:val="00E26F05"/>
    <w:rsid w:val="00E34E64"/>
    <w:rsid w:val="00E35BDA"/>
    <w:rsid w:val="00E366A4"/>
    <w:rsid w:val="00E370C5"/>
    <w:rsid w:val="00E40037"/>
    <w:rsid w:val="00E41B65"/>
    <w:rsid w:val="00E42C8E"/>
    <w:rsid w:val="00E44A0F"/>
    <w:rsid w:val="00E473E7"/>
    <w:rsid w:val="00E515DD"/>
    <w:rsid w:val="00E51A50"/>
    <w:rsid w:val="00E54648"/>
    <w:rsid w:val="00E61FCB"/>
    <w:rsid w:val="00E62AF6"/>
    <w:rsid w:val="00E653AD"/>
    <w:rsid w:val="00E70C32"/>
    <w:rsid w:val="00E70C8D"/>
    <w:rsid w:val="00E73E59"/>
    <w:rsid w:val="00E74D9F"/>
    <w:rsid w:val="00E904D7"/>
    <w:rsid w:val="00EA55AA"/>
    <w:rsid w:val="00EB0B28"/>
    <w:rsid w:val="00EC0B83"/>
    <w:rsid w:val="00ED46F9"/>
    <w:rsid w:val="00EE3D94"/>
    <w:rsid w:val="00EE3DF0"/>
    <w:rsid w:val="00EF3FB8"/>
    <w:rsid w:val="00F0470F"/>
    <w:rsid w:val="00F06FEC"/>
    <w:rsid w:val="00F0775E"/>
    <w:rsid w:val="00F108EE"/>
    <w:rsid w:val="00F1772F"/>
    <w:rsid w:val="00F178E5"/>
    <w:rsid w:val="00F20521"/>
    <w:rsid w:val="00F25DDE"/>
    <w:rsid w:val="00F2622A"/>
    <w:rsid w:val="00F32DD0"/>
    <w:rsid w:val="00F4492B"/>
    <w:rsid w:val="00F5098D"/>
    <w:rsid w:val="00F55F41"/>
    <w:rsid w:val="00F57812"/>
    <w:rsid w:val="00F57D8C"/>
    <w:rsid w:val="00F604BB"/>
    <w:rsid w:val="00F604C6"/>
    <w:rsid w:val="00F63989"/>
    <w:rsid w:val="00F660AC"/>
    <w:rsid w:val="00F66104"/>
    <w:rsid w:val="00F66285"/>
    <w:rsid w:val="00F70160"/>
    <w:rsid w:val="00F93CC8"/>
    <w:rsid w:val="00F9579E"/>
    <w:rsid w:val="00F95F8A"/>
    <w:rsid w:val="00F97660"/>
    <w:rsid w:val="00FA17C8"/>
    <w:rsid w:val="00FB26E3"/>
    <w:rsid w:val="00FB4B33"/>
    <w:rsid w:val="00FD16CD"/>
    <w:rsid w:val="00FD5911"/>
    <w:rsid w:val="00FE0F50"/>
    <w:rsid w:val="00FE3B23"/>
    <w:rsid w:val="00FF2C5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A4DE4"/>
  <w15:docId w15:val="{4DB6948E-E294-4A7D-98E4-D2582D343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C77"/>
    <w:pPr>
      <w:suppressAutoHyphens/>
    </w:pPr>
    <w:rPr>
      <w:rFonts w:ascii="Times New Roman" w:hAnsi="Times New Roman"/>
      <w:sz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pPr>
    <w:rPr>
      <w:rFonts w:ascii="Calibri" w:hAnsi="Calibri"/>
      <w:sz w:val="22"/>
      <w:lang w:eastAsia="en-US"/>
    </w:rPr>
  </w:style>
  <w:style w:type="paragraph" w:styleId="Piedepgina">
    <w:name w:val="footer"/>
    <w:basedOn w:val="Normal"/>
    <w:pPr>
      <w:tabs>
        <w:tab w:val="center" w:pos="4419"/>
        <w:tab w:val="right" w:pos="8838"/>
      </w:tabs>
    </w:pPr>
    <w:rPr>
      <w:rFonts w:ascii="Calibri" w:hAnsi="Calibri"/>
      <w:sz w:val="22"/>
      <w:lang w:eastAsia="en-US"/>
    </w:rPr>
  </w:style>
  <w:style w:type="paragraph" w:styleId="Textodeglobo">
    <w:name w:val="Balloon Text"/>
    <w:basedOn w:val="Normal"/>
    <w:rPr>
      <w:rFonts w:ascii="Tahoma" w:hAnsi="Tahoma"/>
      <w:sz w:val="16"/>
      <w:lang w:eastAsia="en-US"/>
    </w:rPr>
  </w:style>
  <w:style w:type="paragraph" w:styleId="Sinespaciado">
    <w:name w:val="No Spacing"/>
    <w:link w:val="SinespaciadoCar"/>
    <w:qFormat/>
    <w:rPr>
      <w:lang w:val="es-ES" w:eastAsia="es-ES"/>
    </w:rPr>
  </w:style>
  <w:style w:type="character" w:styleId="Nmerodelnea">
    <w:name w:val="line number"/>
    <w:basedOn w:val="Fuentedeprrafopredeter"/>
    <w:semiHidden/>
  </w:style>
  <w:style w:type="character" w:styleId="Hipervnculo">
    <w:name w:val="Hyperlink"/>
    <w:basedOn w:val="Fuentedeprrafopredeter"/>
    <w:rPr>
      <w:color w:val="0000FF"/>
      <w:u w:val="single"/>
    </w:rPr>
  </w:style>
  <w:style w:type="character" w:customStyle="1" w:styleId="HeaderChar">
    <w:name w:val="Header Char"/>
    <w:basedOn w:val="Fuentedeprrafopredeter"/>
    <w:rPr>
      <w:rFonts w:ascii="Times New Roman" w:hAnsi="Times New Roman"/>
      <w:sz w:val="24"/>
      <w:lang w:val="es-CO" w:eastAsia="es-ES"/>
    </w:rPr>
  </w:style>
  <w:style w:type="character" w:customStyle="1" w:styleId="EncabezadoCar">
    <w:name w:val="Encabezado Car"/>
    <w:basedOn w:val="Fuentedeprrafopredeter"/>
  </w:style>
  <w:style w:type="character" w:customStyle="1" w:styleId="FooterChar">
    <w:name w:val="Footer Char"/>
    <w:basedOn w:val="Fuentedeprrafopredeter"/>
    <w:rPr>
      <w:rFonts w:ascii="Times New Roman" w:hAnsi="Times New Roman"/>
      <w:sz w:val="24"/>
      <w:lang w:val="es-CO" w:eastAsia="es-ES"/>
    </w:rPr>
  </w:style>
  <w:style w:type="character" w:customStyle="1" w:styleId="PiedepginaCar">
    <w:name w:val="Pie de página Car"/>
    <w:basedOn w:val="Fuentedeprrafopredeter"/>
  </w:style>
  <w:style w:type="character" w:customStyle="1" w:styleId="BalloonTextChar">
    <w:name w:val="Balloon Text Char"/>
    <w:basedOn w:val="Fuentedeprrafopredeter"/>
    <w:rPr>
      <w:rFonts w:ascii="Times New Roman" w:hAnsi="Times New Roman"/>
      <w:lang w:val="es-CO" w:eastAsia="es-ES"/>
    </w:rPr>
  </w:style>
  <w:style w:type="character" w:customStyle="1" w:styleId="TextodegloboCar">
    <w:name w:val="Texto de globo Car"/>
    <w:basedOn w:val="Fuentedeprrafopredeter"/>
    <w:rPr>
      <w:rFonts w:ascii="Tahoma" w:hAnsi="Tahoma"/>
      <w:sz w:val="16"/>
    </w:rPr>
  </w:style>
  <w:style w:type="character" w:customStyle="1" w:styleId="Absatz-Standardschriftart">
    <w:name w:val="Absatz-Standardschriftart"/>
  </w:style>
  <w:style w:type="character" w:styleId="Hipervnculovisitado">
    <w:name w:val="FollowedHyperlink"/>
    <w:basedOn w:val="Fuentedeprrafopredeter"/>
    <w:semiHidden/>
    <w:rPr>
      <w:color w:val="800080" w:themeColor="followedHyperlink"/>
      <w:u w:val="single"/>
    </w:rPr>
  </w:style>
  <w:style w:type="character" w:styleId="Mencinsinresolver">
    <w:name w:val="Unresolved Mention"/>
    <w:basedOn w:val="Fuentedeprrafopredeter"/>
    <w:semiHidden/>
    <w:rPr>
      <w:color w:val="605E5C"/>
      <w:shd w:val="clear" w:color="auto" w:fill="E1DFDD"/>
    </w:rPr>
  </w:style>
  <w:style w:type="character" w:customStyle="1" w:styleId="SinespaciadoCar">
    <w:name w:val="Sin espaciado Car"/>
    <w:basedOn w:val="Fuentedeprrafopredeter"/>
    <w:link w:val="Sinespaciado"/>
    <w:rPr>
      <w:lang w:val="es-ES" w:eastAsia="es-ES"/>
    </w:rPr>
  </w:style>
  <w:style w:type="character" w:styleId="nfasis">
    <w:name w:val="Emphasis"/>
    <w:basedOn w:val="Fuentedeprrafopredeter"/>
    <w:qFormat/>
    <w:rPr>
      <w:i/>
    </w:rPr>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basedOn w:val="Normal"/>
    <w:link w:val="PrrafodelistaCar"/>
    <w:uiPriority w:val="34"/>
    <w:qFormat/>
    <w:rsid w:val="00D4535F"/>
    <w:pPr>
      <w:ind w:left="720"/>
      <w:contextualSpacing/>
    </w:pPr>
  </w:style>
  <w:style w:type="paragraph" w:customStyle="1" w:styleId="Default">
    <w:name w:val="Default"/>
    <w:rsid w:val="007C3AA3"/>
    <w:pPr>
      <w:autoSpaceDE w:val="0"/>
      <w:autoSpaceDN w:val="0"/>
      <w:adjustRightInd w:val="0"/>
    </w:pPr>
    <w:rPr>
      <w:rFonts w:ascii="Arial" w:hAnsi="Arial" w:cs="Arial"/>
      <w:color w:val="000000"/>
      <w:sz w:val="24"/>
      <w:szCs w:val="24"/>
      <w:lang w:val="es-CO"/>
    </w:rPr>
  </w:style>
  <w:style w:type="paragraph" w:customStyle="1" w:styleId="CM13">
    <w:name w:val="CM13"/>
    <w:basedOn w:val="Default"/>
    <w:next w:val="Default"/>
    <w:uiPriority w:val="99"/>
    <w:rsid w:val="007C3AA3"/>
    <w:pPr>
      <w:spacing w:line="348" w:lineRule="atLeast"/>
    </w:pPr>
    <w:rPr>
      <w:color w:val="auto"/>
    </w:rPr>
  </w:style>
  <w:style w:type="paragraph" w:styleId="Revisin">
    <w:name w:val="Revision"/>
    <w:hidden/>
    <w:uiPriority w:val="99"/>
    <w:semiHidden/>
    <w:rsid w:val="0048276B"/>
    <w:rPr>
      <w:rFonts w:ascii="Times New Roman" w:hAnsi="Times New Roman"/>
      <w:sz w:val="24"/>
      <w:lang w:val="es-CO" w:eastAsia="es-ES"/>
    </w:rPr>
  </w:style>
  <w:style w:type="paragraph" w:styleId="NormalWeb">
    <w:name w:val="Normal (Web)"/>
    <w:basedOn w:val="Normal"/>
    <w:uiPriority w:val="99"/>
    <w:unhideWhenUsed/>
    <w:rsid w:val="00E51A50"/>
    <w:pPr>
      <w:suppressAutoHyphens w:val="0"/>
      <w:spacing w:before="100" w:beforeAutospacing="1" w:after="100" w:afterAutospacing="1"/>
    </w:pPr>
    <w:rPr>
      <w:szCs w:val="24"/>
      <w:lang w:eastAsia="es-CO"/>
    </w:rPr>
  </w:style>
  <w:style w:type="paragraph" w:styleId="Textoindependiente">
    <w:name w:val="Body Text"/>
    <w:basedOn w:val="Normal"/>
    <w:link w:val="TextoindependienteCar"/>
    <w:uiPriority w:val="99"/>
    <w:unhideWhenUsed/>
    <w:rsid w:val="00DE0C68"/>
    <w:pPr>
      <w:suppressAutoHyphens w:val="0"/>
      <w:jc w:val="both"/>
    </w:pPr>
    <w:rPr>
      <w:rFonts w:eastAsiaTheme="minorHAnsi"/>
      <w:szCs w:val="24"/>
      <w:lang w:eastAsia="es-CO"/>
    </w:rPr>
  </w:style>
  <w:style w:type="character" w:customStyle="1" w:styleId="TextoindependienteCar">
    <w:name w:val="Texto independiente Car"/>
    <w:basedOn w:val="Fuentedeprrafopredeter"/>
    <w:link w:val="Textoindependiente"/>
    <w:uiPriority w:val="99"/>
    <w:rsid w:val="00DE0C68"/>
    <w:rPr>
      <w:rFonts w:ascii="Times New Roman" w:eastAsiaTheme="minorHAnsi" w:hAnsi="Times New Roman"/>
      <w:sz w:val="24"/>
      <w:szCs w:val="24"/>
      <w:lang w:val="es-CO" w:eastAsia="es-CO"/>
    </w:rPr>
  </w:style>
  <w:style w:type="character" w:customStyle="1" w:styleId="PrrafodelistaCar">
    <w:name w:val="Párrafo de lista Car"/>
    <w:link w:val="Prrafodelista"/>
    <w:uiPriority w:val="34"/>
    <w:rsid w:val="00856959"/>
    <w:rPr>
      <w:rFonts w:ascii="Times New Roman" w:hAnsi="Times New Roman"/>
      <w:sz w:val="24"/>
      <w:lang w:val="es-CO" w:eastAsia="es-ES"/>
    </w:rPr>
  </w:style>
  <w:style w:type="paragraph" w:styleId="Textocomentario">
    <w:name w:val="annotation text"/>
    <w:basedOn w:val="Normal"/>
    <w:link w:val="TextocomentarioCar"/>
    <w:unhideWhenUsed/>
    <w:rsid w:val="00C22D79"/>
    <w:pPr>
      <w:suppressAutoHyphens w:val="0"/>
      <w:spacing w:before="120" w:after="120"/>
    </w:pPr>
    <w:rPr>
      <w:rFonts w:ascii="Calibri" w:eastAsia="Calibri" w:hAnsi="Calibri"/>
      <w:sz w:val="20"/>
      <w:lang w:eastAsia="en-US"/>
    </w:rPr>
  </w:style>
  <w:style w:type="character" w:customStyle="1" w:styleId="TextocomentarioCar">
    <w:name w:val="Texto comentario Car"/>
    <w:basedOn w:val="Fuentedeprrafopredeter"/>
    <w:link w:val="Textocomentario"/>
    <w:rsid w:val="00C22D79"/>
    <w:rPr>
      <w:rFonts w:eastAsia="Calibri"/>
      <w:sz w:val="20"/>
      <w:lang w:val="es-CO"/>
    </w:rPr>
  </w:style>
  <w:style w:type="character" w:styleId="Refdecomentario">
    <w:name w:val="annotation reference"/>
    <w:basedOn w:val="Fuentedeprrafopredeter"/>
    <w:uiPriority w:val="99"/>
    <w:semiHidden/>
    <w:unhideWhenUsed/>
    <w:rsid w:val="00C22D79"/>
    <w:rPr>
      <w:sz w:val="16"/>
      <w:szCs w:val="16"/>
    </w:rPr>
  </w:style>
  <w:style w:type="paragraph" w:customStyle="1" w:styleId="yiv1541287786default">
    <w:name w:val="yiv1541287786default"/>
    <w:basedOn w:val="Normal"/>
    <w:rsid w:val="000D4727"/>
    <w:pPr>
      <w:suppressAutoHyphens w:val="0"/>
      <w:spacing w:before="100" w:beforeAutospacing="1" w:after="100" w:afterAutospacing="1"/>
    </w:pPr>
    <w:rPr>
      <w:szCs w:val="24"/>
      <w:lang w:eastAsia="es-CO"/>
    </w:rPr>
  </w:style>
  <w:style w:type="character" w:customStyle="1" w:styleId="A9">
    <w:name w:val="A9"/>
    <w:uiPriority w:val="99"/>
    <w:rsid w:val="000D4727"/>
    <w:rPr>
      <w:rFonts w:cs="Solido Book"/>
      <w:color w:val="000000"/>
      <w:sz w:val="20"/>
      <w:szCs w:val="20"/>
    </w:rPr>
  </w:style>
  <w:style w:type="character" w:styleId="Fuerte">
    <w:name w:val="Strong"/>
    <w:basedOn w:val="Fuentedeprrafopredeter"/>
    <w:uiPriority w:val="22"/>
    <w:qFormat/>
    <w:rsid w:val="00306CF7"/>
    <w:rPr>
      <w:b/>
      <w:bCs/>
    </w:rPr>
  </w:style>
  <w:style w:type="table" w:styleId="Tablaconcuadrcula1clara">
    <w:name w:val="Grid Table 1 Light"/>
    <w:basedOn w:val="Tablanormal"/>
    <w:uiPriority w:val="46"/>
    <w:rsid w:val="00306CF7"/>
    <w:rPr>
      <w:rFonts w:asciiTheme="minorHAnsi" w:eastAsiaTheme="minorHAnsi" w:hAnsiTheme="minorHAnsi" w:cstheme="minorBidi"/>
      <w:kern w:val="2"/>
      <w:szCs w:val="22"/>
      <w:lang w:val="es-CO"/>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600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2062</Words>
  <Characters>11345</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Bogotá D</vt:lpstr>
    </vt:vector>
  </TitlesOfParts>
  <Company/>
  <LinksUpToDate>false</LinksUpToDate>
  <CharactersWithSpaces>13381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Bogotá D</dc:title>
  <dc:creator>oflorez</dc:creator>
  <cp:lastModifiedBy>Alexander Riascos Oñate</cp:lastModifiedBy>
  <cp:revision>8</cp:revision>
  <cp:lastPrinted>2012-10-02T19:57:00Z</cp:lastPrinted>
  <dcterms:created xsi:type="dcterms:W3CDTF">2026-03-09T19:12:00Z</dcterms:created>
  <dcterms:modified xsi:type="dcterms:W3CDTF">2026-03-10T14:42:00Z</dcterms:modified>
</cp:coreProperties>
</file>